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713" w:rsidRDefault="0019586A" w:rsidP="00DB5713">
      <w:pPr>
        <w:pStyle w:val="CRCoverPage"/>
        <w:tabs>
          <w:tab w:val="right" w:pos="9639"/>
        </w:tabs>
        <w:spacing w:after="0"/>
        <w:rPr>
          <w:b/>
          <w:i/>
          <w:noProof/>
          <w:sz w:val="28"/>
        </w:rPr>
      </w:pPr>
      <w:bookmarkStart w:id="0" w:name="_GoBack"/>
      <w:bookmarkEnd w:id="0"/>
      <w:r>
        <w:rPr>
          <w:b/>
          <w:noProof/>
          <w:sz w:val="24"/>
        </w:rPr>
        <w:t>3GPP TSG-WG RAN4 Meeting NR ad-hoc #3</w:t>
      </w:r>
      <w:r w:rsidR="00DB5713">
        <w:rPr>
          <w:b/>
          <w:i/>
          <w:noProof/>
          <w:sz w:val="28"/>
        </w:rPr>
        <w:tab/>
      </w:r>
      <w:r w:rsidR="00DB5713" w:rsidRPr="00367FBE">
        <w:rPr>
          <w:b/>
          <w:i/>
          <w:noProof/>
          <w:sz w:val="28"/>
        </w:rPr>
        <w:t>R4-17</w:t>
      </w:r>
      <w:r w:rsidR="005E7D40">
        <w:rPr>
          <w:b/>
          <w:i/>
          <w:noProof/>
          <w:sz w:val="28"/>
        </w:rPr>
        <w:t>11378</w:t>
      </w:r>
    </w:p>
    <w:p w:rsidR="00DB5713" w:rsidRDefault="0019586A" w:rsidP="00DB5713">
      <w:pPr>
        <w:pStyle w:val="CRCoverPage"/>
        <w:outlineLvl w:val="0"/>
        <w:rPr>
          <w:b/>
          <w:noProof/>
          <w:sz w:val="24"/>
        </w:rPr>
      </w:pPr>
      <w:r>
        <w:rPr>
          <w:b/>
          <w:noProof/>
          <w:sz w:val="24"/>
        </w:rPr>
        <w:t>Nagoya</w:t>
      </w:r>
      <w:r w:rsidR="00DB5713">
        <w:rPr>
          <w:b/>
          <w:noProof/>
          <w:sz w:val="24"/>
        </w:rPr>
        <w:t xml:space="preserve">, </w:t>
      </w:r>
      <w:r>
        <w:rPr>
          <w:b/>
          <w:noProof/>
          <w:sz w:val="24"/>
        </w:rPr>
        <w:t>Japan</w:t>
      </w:r>
      <w:r w:rsidR="00DB5713">
        <w:rPr>
          <w:b/>
          <w:noProof/>
          <w:sz w:val="24"/>
        </w:rPr>
        <w:t xml:space="preserve">, </w:t>
      </w:r>
      <w:r>
        <w:rPr>
          <w:b/>
          <w:noProof/>
          <w:sz w:val="24"/>
        </w:rPr>
        <w:t>18</w:t>
      </w:r>
      <w:r>
        <w:rPr>
          <w:b/>
          <w:noProof/>
          <w:sz w:val="24"/>
          <w:vertAlign w:val="superscript"/>
        </w:rPr>
        <w:t>nd</w:t>
      </w:r>
      <w:r w:rsidR="00DB5713">
        <w:rPr>
          <w:b/>
          <w:noProof/>
          <w:sz w:val="24"/>
        </w:rPr>
        <w:t xml:space="preserve"> – 2</w:t>
      </w:r>
      <w:r>
        <w:rPr>
          <w:b/>
          <w:noProof/>
          <w:sz w:val="24"/>
        </w:rPr>
        <w:t>1</w:t>
      </w:r>
      <w:r>
        <w:rPr>
          <w:b/>
          <w:noProof/>
          <w:sz w:val="24"/>
          <w:vertAlign w:val="superscript"/>
        </w:rPr>
        <w:t>st</w:t>
      </w:r>
      <w:r w:rsidR="00DB5713">
        <w:rPr>
          <w:b/>
          <w:noProof/>
          <w:sz w:val="24"/>
        </w:rPr>
        <w:t xml:space="preserve"> </w:t>
      </w:r>
      <w:r>
        <w:rPr>
          <w:b/>
          <w:noProof/>
          <w:sz w:val="24"/>
        </w:rPr>
        <w:t>September</w:t>
      </w:r>
      <w:r w:rsidR="00DB5713">
        <w:rPr>
          <w:b/>
          <w:noProof/>
          <w:sz w:val="24"/>
        </w:rPr>
        <w:t>,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F01A15">
        <w:rPr>
          <w:rFonts w:ascii="Arial" w:hAnsi="Arial" w:cs="Arial"/>
          <w:b/>
          <w:bCs/>
          <w:sz w:val="24"/>
        </w:rPr>
        <w:t xml:space="preserve">Intra-band </w:t>
      </w:r>
      <w:r w:rsidR="00DE3102" w:rsidRPr="00DE3102">
        <w:rPr>
          <w:rFonts w:ascii="Arial" w:hAnsi="Arial" w:cs="Arial"/>
          <w:b/>
          <w:bCs/>
          <w:sz w:val="24"/>
        </w:rPr>
        <w:t>CA and wideband operation RF requirement</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0310F">
        <w:rPr>
          <w:rFonts w:cs="Arial"/>
          <w:b/>
          <w:bCs/>
          <w:sz w:val="24"/>
        </w:rPr>
        <w:t>9.3.1.2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F96F32" w:rsidRPr="00FD060A" w:rsidRDefault="00DB5713" w:rsidP="00C76099">
      <w:bookmarkStart w:id="3" w:name="OLE_LINK13"/>
      <w:bookmarkStart w:id="4" w:name="OLE_LINK14"/>
      <w:r>
        <w:t xml:space="preserve">In </w:t>
      </w:r>
      <w:r w:rsidR="00C76099">
        <w:t xml:space="preserve">this paper, we discuss the difference of </w:t>
      </w:r>
      <w:r w:rsidR="00F01A15">
        <w:t xml:space="preserve">intra-band </w:t>
      </w:r>
      <w:r w:rsidR="00C76099">
        <w:t>CA and</w:t>
      </w:r>
      <w:r w:rsidR="00146608">
        <w:t xml:space="preserve"> wideband operation and propose</w:t>
      </w:r>
      <w:r w:rsidR="00C76099">
        <w:t xml:space="preserve"> what the baseline RF requirement </w:t>
      </w:r>
      <w:r w:rsidR="00E9480E">
        <w:t>should be</w:t>
      </w:r>
      <w:r w:rsidR="00C76099">
        <w:t xml:space="preserve"> for each operation.</w:t>
      </w:r>
    </w:p>
    <w:bookmarkEnd w:id="3"/>
    <w:bookmarkEnd w:id="4"/>
    <w:p w:rsidR="00423A6A" w:rsidRDefault="00423A6A" w:rsidP="00423A6A">
      <w:pPr>
        <w:pStyle w:val="Heading1"/>
      </w:pPr>
      <w:r>
        <w:t>2</w:t>
      </w:r>
      <w:r>
        <w:tab/>
      </w:r>
      <w:r w:rsidR="002E6D98">
        <w:t>Discussion</w:t>
      </w:r>
    </w:p>
    <w:p w:rsidR="00C76099" w:rsidRDefault="00C76099" w:rsidP="00BD5C14">
      <w:pPr>
        <w:rPr>
          <w:lang w:val="en-GB" w:eastAsia="en-US"/>
        </w:rPr>
      </w:pPr>
      <w:r>
        <w:rPr>
          <w:lang w:val="en-GB" w:eastAsia="en-US"/>
        </w:rPr>
        <w:t>There has been a long discussion what wideband operation is specified in RAN4 RF requirement but no consensus has been reached s</w:t>
      </w:r>
      <w:r w:rsidR="00146608">
        <w:rPr>
          <w:lang w:val="en-GB" w:eastAsia="en-US"/>
        </w:rPr>
        <w:t xml:space="preserve">o far. The confusions are partly </w:t>
      </w:r>
      <w:r>
        <w:rPr>
          <w:lang w:val="en-GB" w:eastAsia="en-US"/>
        </w:rPr>
        <w:t xml:space="preserve">due to </w:t>
      </w:r>
      <w:r w:rsidR="002F7D6C">
        <w:rPr>
          <w:lang w:val="en-GB" w:eastAsia="en-US"/>
        </w:rPr>
        <w:t>insufficient</w:t>
      </w:r>
      <w:r>
        <w:rPr>
          <w:lang w:val="en-GB" w:eastAsia="en-US"/>
        </w:rPr>
        <w:t xml:space="preserve"> RAN1 agreement </w:t>
      </w:r>
      <w:r w:rsidR="00146608">
        <w:rPr>
          <w:lang w:val="en-GB" w:eastAsia="en-US"/>
        </w:rPr>
        <w:t xml:space="preserve">until the last meeting so that it was difficult for </w:t>
      </w:r>
      <w:r>
        <w:rPr>
          <w:lang w:val="en-GB" w:eastAsia="en-US"/>
        </w:rPr>
        <w:t xml:space="preserve">RAN4 to </w:t>
      </w:r>
      <w:r w:rsidR="00146608">
        <w:rPr>
          <w:lang w:val="en-GB" w:eastAsia="en-US"/>
        </w:rPr>
        <w:t xml:space="preserve">clearly </w:t>
      </w:r>
      <w:r>
        <w:rPr>
          <w:lang w:val="en-GB" w:eastAsia="en-US"/>
        </w:rPr>
        <w:t>define</w:t>
      </w:r>
      <w:r w:rsidR="00146608">
        <w:rPr>
          <w:lang w:val="en-GB" w:eastAsia="en-US"/>
        </w:rPr>
        <w:t xml:space="preserve"> the</w:t>
      </w:r>
      <w:r>
        <w:rPr>
          <w:lang w:val="en-GB" w:eastAsia="en-US"/>
        </w:rPr>
        <w:t xml:space="preserve"> wideband operation. Further, there </w:t>
      </w:r>
      <w:r w:rsidR="002F7D6C">
        <w:rPr>
          <w:lang w:val="en-GB" w:eastAsia="en-US"/>
        </w:rPr>
        <w:t>has been</w:t>
      </w:r>
      <w:r>
        <w:rPr>
          <w:lang w:val="en-GB" w:eastAsia="en-US"/>
        </w:rPr>
        <w:t xml:space="preserve"> no common understanding on the difference </w:t>
      </w:r>
      <w:r w:rsidR="002F7D6C">
        <w:rPr>
          <w:lang w:val="en-GB" w:eastAsia="en-US"/>
        </w:rPr>
        <w:t>between wideband operation and</w:t>
      </w:r>
      <w:r w:rsidR="00F01A15">
        <w:rPr>
          <w:lang w:val="en-GB" w:eastAsia="en-US"/>
        </w:rPr>
        <w:t xml:space="preserve"> intra-band</w:t>
      </w:r>
      <w:r w:rsidR="002F7D6C">
        <w:rPr>
          <w:lang w:val="en-GB" w:eastAsia="en-US"/>
        </w:rPr>
        <w:t xml:space="preserve"> carrier aggregation.</w:t>
      </w:r>
      <w:r w:rsidR="00146608">
        <w:rPr>
          <w:lang w:val="en-GB" w:eastAsia="en-US"/>
        </w:rPr>
        <w:t xml:space="preserve"> In this contribution, we propose the RAN4 way-forward aligned with the latest discussion from RAN1 and RAN1</w:t>
      </w:r>
      <w:r w:rsidR="0036403F">
        <w:rPr>
          <w:lang w:val="en-GB" w:eastAsia="en-US"/>
        </w:rPr>
        <w:t xml:space="preserve"> perspective</w:t>
      </w:r>
      <w:r w:rsidR="00146608">
        <w:rPr>
          <w:lang w:val="en-GB" w:eastAsia="en-US"/>
        </w:rPr>
        <w:t>.</w:t>
      </w:r>
    </w:p>
    <w:p w:rsidR="002F7D6C" w:rsidRDefault="002F7D6C" w:rsidP="00BD5C14">
      <w:pPr>
        <w:rPr>
          <w:lang w:val="en-GB" w:eastAsia="en-US"/>
        </w:rPr>
      </w:pPr>
      <w:r>
        <w:rPr>
          <w:lang w:val="en-GB" w:eastAsia="en-US"/>
        </w:rPr>
        <w:t xml:space="preserve">First, we consider a similar approach as LTE </w:t>
      </w:r>
      <w:r w:rsidR="00F01A15">
        <w:rPr>
          <w:lang w:val="en-GB" w:eastAsia="en-US"/>
        </w:rPr>
        <w:t xml:space="preserve">intra-band contiguous </w:t>
      </w:r>
      <w:r>
        <w:rPr>
          <w:lang w:val="en-GB" w:eastAsia="en-US"/>
        </w:rPr>
        <w:t xml:space="preserve">carrier aggregation illustrated in Figure 1. Each component carrier for BS and UE are identical. </w:t>
      </w:r>
      <w:r w:rsidR="00386D56">
        <w:rPr>
          <w:lang w:val="en-GB" w:eastAsia="en-US"/>
        </w:rPr>
        <w:t>In LTE</w:t>
      </w:r>
      <w:r>
        <w:rPr>
          <w:lang w:val="en-GB" w:eastAsia="en-US"/>
        </w:rPr>
        <w:t xml:space="preserve">, we assume a nominal channel spacing to derive the RF requirement for </w:t>
      </w:r>
      <w:r w:rsidR="00F01A15">
        <w:rPr>
          <w:lang w:val="en-GB" w:eastAsia="en-US"/>
        </w:rPr>
        <w:t xml:space="preserve">intra-band contiguous </w:t>
      </w:r>
      <w:r>
        <w:rPr>
          <w:lang w:val="en-GB" w:eastAsia="en-US"/>
        </w:rPr>
        <w:t>CA and there is a guard</w:t>
      </w:r>
      <w:r w:rsidR="00386D56">
        <w:rPr>
          <w:lang w:val="en-GB" w:eastAsia="en-US"/>
        </w:rPr>
        <w:t xml:space="preserve"> band</w:t>
      </w:r>
      <w:r>
        <w:rPr>
          <w:lang w:val="en-GB" w:eastAsia="en-US"/>
        </w:rPr>
        <w:t xml:space="preserve"> among component carriers. </w:t>
      </w:r>
    </w:p>
    <w:p w:rsidR="00040D58" w:rsidRDefault="00943876" w:rsidP="001649FD">
      <w:pPr>
        <w:jc w:val="center"/>
        <w:rPr>
          <w:lang w:val="en-GB"/>
        </w:rPr>
      </w:pPr>
      <w:r>
        <w:object w:dxaOrig="7156"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35pt" o:ole="">
            <v:imagedata r:id="rId7" o:title=""/>
          </v:shape>
          <o:OLEObject Type="Embed" ProgID="Visio.Drawing.15" ShapeID="_x0000_i1025" DrawAspect="Content" ObjectID="_1568500995" r:id="rId8"/>
        </w:object>
      </w:r>
    </w:p>
    <w:p w:rsidR="00040D58" w:rsidRDefault="00040D58" w:rsidP="00040D58">
      <w:pPr>
        <w:pStyle w:val="Caption"/>
        <w:jc w:val="center"/>
        <w:rPr>
          <w:lang w:val="en-US"/>
        </w:rPr>
      </w:pPr>
      <w:r>
        <w:t xml:space="preserve">Figure 1 </w:t>
      </w:r>
      <w:r w:rsidR="00ED2EFC">
        <w:t>An example of</w:t>
      </w:r>
      <w:r w:rsidR="00C749BD">
        <w:t xml:space="preserve"> </w:t>
      </w:r>
      <w:r w:rsidR="00C749BD">
        <w:rPr>
          <w:lang w:val="en-US"/>
        </w:rPr>
        <w:t>carrier aggregation scenario</w:t>
      </w:r>
    </w:p>
    <w:p w:rsidR="008B1FED" w:rsidRDefault="008B1FED" w:rsidP="00040D58">
      <w:pPr>
        <w:rPr>
          <w:lang w:eastAsia="x-none"/>
        </w:rPr>
      </w:pPr>
      <w:r>
        <w:rPr>
          <w:lang w:eastAsia="x-none"/>
        </w:rPr>
        <w:t>Second, we consider an approach indicated in RAN1 LS [1] where intra-band contiguous CCs can be used within a wideband CC</w:t>
      </w:r>
      <w:r w:rsidR="00F01A15">
        <w:rPr>
          <w:lang w:eastAsia="x-none"/>
        </w:rPr>
        <w:t xml:space="preserve"> without guard band</w:t>
      </w:r>
      <w:r>
        <w:rPr>
          <w:lang w:eastAsia="x-none"/>
        </w:rPr>
        <w:t xml:space="preserve">. </w:t>
      </w:r>
    </w:p>
    <w:p w:rsidR="00040D58" w:rsidRDefault="001649FD" w:rsidP="001649FD">
      <w:pPr>
        <w:jc w:val="center"/>
        <w:rPr>
          <w:lang w:val="en-GB"/>
        </w:rPr>
      </w:pPr>
      <w:r>
        <w:object w:dxaOrig="7515" w:dyaOrig="2341">
          <v:shape id="_x0000_i1026" type="#_x0000_t75" style="width:375.75pt;height:117pt" o:ole="">
            <v:imagedata r:id="rId9" o:title=""/>
          </v:shape>
          <o:OLEObject Type="Embed" ProgID="Visio.Drawing.15" ShapeID="_x0000_i1026" DrawAspect="Content" ObjectID="_1568500996" r:id="rId10"/>
        </w:object>
      </w:r>
    </w:p>
    <w:p w:rsidR="00040D58" w:rsidRDefault="00040D58" w:rsidP="00040D58">
      <w:pPr>
        <w:pStyle w:val="Caption"/>
        <w:jc w:val="center"/>
        <w:rPr>
          <w:lang w:val="en-US"/>
        </w:rPr>
      </w:pPr>
      <w:r>
        <w:t xml:space="preserve">Figure </w:t>
      </w:r>
      <w:r>
        <w:rPr>
          <w:lang w:val="en-US"/>
        </w:rPr>
        <w:t>2</w:t>
      </w:r>
      <w:r>
        <w:t xml:space="preserve"> </w:t>
      </w:r>
      <w:r w:rsidR="00ED2EFC">
        <w:t xml:space="preserve">An example of </w:t>
      </w:r>
      <w:r>
        <w:rPr>
          <w:lang w:val="en-US"/>
        </w:rPr>
        <w:t xml:space="preserve">Wide operation </w:t>
      </w:r>
      <w:r w:rsidR="00ED2EFC">
        <w:rPr>
          <w:lang w:val="en-US"/>
        </w:rPr>
        <w:t>scenario</w:t>
      </w:r>
    </w:p>
    <w:p w:rsidR="00DE3102" w:rsidRDefault="00FC43BD" w:rsidP="00BD5C14">
      <w:pPr>
        <w:rPr>
          <w:lang w:val="en-GB" w:eastAsia="en-US"/>
        </w:rPr>
      </w:pPr>
      <w:r>
        <w:rPr>
          <w:lang w:val="en-GB" w:eastAsia="en-US"/>
        </w:rPr>
        <w:t xml:space="preserve">Several contributions pointed out both options are </w:t>
      </w:r>
      <w:r w:rsidR="00386D56">
        <w:rPr>
          <w:lang w:val="en-GB" w:eastAsia="en-US"/>
        </w:rPr>
        <w:t>needed</w:t>
      </w:r>
      <w:r>
        <w:rPr>
          <w:lang w:val="en-GB" w:eastAsia="en-US"/>
        </w:rPr>
        <w:t xml:space="preserve"> and should be specified, although the priority of </w:t>
      </w:r>
      <w:r w:rsidR="00386D56">
        <w:rPr>
          <w:lang w:val="en-GB" w:eastAsia="en-US"/>
        </w:rPr>
        <w:t>the second</w:t>
      </w:r>
      <w:r>
        <w:rPr>
          <w:lang w:val="en-GB" w:eastAsia="en-US"/>
        </w:rPr>
        <w:t xml:space="preserve"> operation was not the same</w:t>
      </w:r>
      <w:r w:rsidR="00386D56">
        <w:rPr>
          <w:lang w:val="en-GB" w:eastAsia="en-US"/>
        </w:rPr>
        <w:t xml:space="preserve"> among companies</w:t>
      </w:r>
      <w:r>
        <w:rPr>
          <w:lang w:val="en-GB" w:eastAsia="en-US"/>
        </w:rPr>
        <w:t xml:space="preserve">. It is also noted that there is no clear understanding yet what RF requirement is specified for each case and if </w:t>
      </w:r>
      <w:r w:rsidR="00386D56">
        <w:rPr>
          <w:lang w:val="en-GB" w:eastAsia="en-US"/>
        </w:rPr>
        <w:t>it is</w:t>
      </w:r>
      <w:r>
        <w:rPr>
          <w:lang w:val="en-GB" w:eastAsia="en-US"/>
        </w:rPr>
        <w:t xml:space="preserve"> the same or not.</w:t>
      </w:r>
    </w:p>
    <w:p w:rsidR="00386D56" w:rsidRDefault="00FC43BD" w:rsidP="00BD5C14">
      <w:pPr>
        <w:rPr>
          <w:lang w:val="en-GB" w:eastAsia="en-US"/>
        </w:rPr>
      </w:pPr>
      <w:r>
        <w:rPr>
          <w:lang w:val="en-GB" w:eastAsia="en-US"/>
        </w:rPr>
        <w:t xml:space="preserve">We understand that a CA based RF requirement </w:t>
      </w:r>
      <w:r w:rsidR="00F01A15">
        <w:rPr>
          <w:lang w:val="en-GB" w:eastAsia="en-US"/>
        </w:rPr>
        <w:t xml:space="preserve">needs to be developed </w:t>
      </w:r>
      <w:r>
        <w:rPr>
          <w:lang w:val="en-GB" w:eastAsia="en-US"/>
        </w:rPr>
        <w:t xml:space="preserve">for the scenario depicted in Figure 1. For this case, the </w:t>
      </w:r>
      <w:r w:rsidR="00386D56">
        <w:rPr>
          <w:lang w:val="en-GB" w:eastAsia="en-US"/>
        </w:rPr>
        <w:t xml:space="preserve">framework to specify RF requirement can be based on </w:t>
      </w:r>
      <w:r w:rsidR="00F01A15">
        <w:rPr>
          <w:lang w:val="en-GB" w:eastAsia="en-US"/>
        </w:rPr>
        <w:t>the</w:t>
      </w:r>
      <w:r w:rsidR="00262527">
        <w:rPr>
          <w:lang w:val="en-GB" w:eastAsia="en-US"/>
        </w:rPr>
        <w:t xml:space="preserve"> </w:t>
      </w:r>
      <w:r w:rsidR="00F01A15">
        <w:rPr>
          <w:lang w:val="en-GB" w:eastAsia="en-US"/>
        </w:rPr>
        <w:t xml:space="preserve">intra-band contiguous CA from E-UTRA </w:t>
      </w:r>
      <w:r w:rsidR="00262527">
        <w:rPr>
          <w:lang w:val="en-GB" w:eastAsia="en-US"/>
        </w:rPr>
        <w:t>UE specifications</w:t>
      </w:r>
      <w:r w:rsidR="00386D56">
        <w:rPr>
          <w:lang w:val="en-GB" w:eastAsia="en-US"/>
        </w:rPr>
        <w:t>, in particular for the frequency range 1(FR1).</w:t>
      </w:r>
    </w:p>
    <w:p w:rsidR="00FC43BD" w:rsidRDefault="00FC43BD" w:rsidP="00BD5C14">
      <w:pPr>
        <w:rPr>
          <w:lang w:val="en-GB" w:eastAsia="en-US"/>
        </w:rPr>
      </w:pPr>
      <w:r>
        <w:rPr>
          <w:lang w:val="en-GB" w:eastAsia="en-US"/>
        </w:rPr>
        <w:t>On the other hand, for the wideband operation depicted in Figure 2, the coexistence requirement (such as ACLR and ACS) should be still based on the wideband CC as the splitting UE component carrier was just to ease the UE implementation but not to change the RF requirement</w:t>
      </w:r>
      <w:r w:rsidR="005A2E45">
        <w:rPr>
          <w:lang w:val="en-GB" w:eastAsia="en-US"/>
        </w:rPr>
        <w:t xml:space="preserve"> for coexistence</w:t>
      </w:r>
      <w:r>
        <w:rPr>
          <w:lang w:val="en-GB" w:eastAsia="en-US"/>
        </w:rPr>
        <w:t>. The emissi</w:t>
      </w:r>
      <w:r w:rsidR="005A2E45">
        <w:rPr>
          <w:lang w:val="en-GB" w:eastAsia="en-US"/>
        </w:rPr>
        <w:t>on and blocking requirement should be based on the wideband CC requirement</w:t>
      </w:r>
      <w:r>
        <w:rPr>
          <w:lang w:val="en-GB" w:eastAsia="en-US"/>
        </w:rPr>
        <w:t xml:space="preserve">. The UE should conform to the single wideband CC requirement even if </w:t>
      </w:r>
      <w:r w:rsidR="00262527">
        <w:rPr>
          <w:lang w:val="en-GB" w:eastAsia="en-US"/>
        </w:rPr>
        <w:t xml:space="preserve">the </w:t>
      </w:r>
      <w:r w:rsidR="00AF1146">
        <w:rPr>
          <w:lang w:val="en-GB" w:eastAsia="en-US"/>
        </w:rPr>
        <w:t>aggregations</w:t>
      </w:r>
      <w:r w:rsidR="00262527">
        <w:rPr>
          <w:lang w:val="en-GB" w:eastAsia="en-US"/>
        </w:rPr>
        <w:t xml:space="preserve"> of CCs within the BS carrier is made.</w:t>
      </w:r>
    </w:p>
    <w:p w:rsidR="00FC43BD" w:rsidRDefault="00262527" w:rsidP="00BD5C14">
      <w:pPr>
        <w:rPr>
          <w:lang w:val="en-GB" w:eastAsia="en-US"/>
        </w:rPr>
      </w:pPr>
      <w:r>
        <w:rPr>
          <w:lang w:val="en-GB" w:eastAsia="en-US"/>
        </w:rPr>
        <w:t xml:space="preserve">The following table </w:t>
      </w:r>
      <w:r w:rsidR="004A09E7">
        <w:rPr>
          <w:lang w:val="en-GB" w:eastAsia="en-US"/>
        </w:rPr>
        <w:t>shows</w:t>
      </w:r>
      <w:r>
        <w:rPr>
          <w:lang w:val="en-GB" w:eastAsia="en-US"/>
        </w:rPr>
        <w:t xml:space="preserve"> the baseline</w:t>
      </w:r>
      <w:r w:rsidR="00784B1D">
        <w:rPr>
          <w:lang w:val="en-GB" w:eastAsia="en-US"/>
        </w:rPr>
        <w:t xml:space="preserve"> assumptions</w:t>
      </w:r>
      <w:r>
        <w:rPr>
          <w:lang w:val="en-GB" w:eastAsia="en-US"/>
        </w:rPr>
        <w:t xml:space="preserve"> for wideband operation and carrier aggregation.</w:t>
      </w:r>
    </w:p>
    <w:p w:rsidR="00440254" w:rsidRDefault="00440254" w:rsidP="00440254">
      <w:pPr>
        <w:pStyle w:val="Caption"/>
        <w:jc w:val="center"/>
        <w:rPr>
          <w:lang w:val="en-US"/>
        </w:rPr>
      </w:pPr>
      <w:r>
        <w:t>Table 1 Overview of wideband operation and carrier aggregation</w:t>
      </w:r>
    </w:p>
    <w:tbl>
      <w:tblPr>
        <w:tblStyle w:val="TableGrid"/>
        <w:tblW w:w="0" w:type="auto"/>
        <w:tblLook w:val="04A0" w:firstRow="1" w:lastRow="0" w:firstColumn="1" w:lastColumn="0" w:noHBand="0" w:noVBand="1"/>
      </w:tblPr>
      <w:tblGrid>
        <w:gridCol w:w="2689"/>
        <w:gridCol w:w="3402"/>
        <w:gridCol w:w="3537"/>
      </w:tblGrid>
      <w:tr w:rsidR="00C749BD" w:rsidTr="00C5502C">
        <w:tc>
          <w:tcPr>
            <w:tcW w:w="2689" w:type="dxa"/>
            <w:vAlign w:val="center"/>
          </w:tcPr>
          <w:p w:rsidR="00C749BD" w:rsidRPr="00485079" w:rsidRDefault="00C749BD" w:rsidP="00D42098">
            <w:pPr>
              <w:spacing w:after="0" w:line="240" w:lineRule="auto"/>
              <w:jc w:val="center"/>
              <w:rPr>
                <w:rFonts w:ascii="Arial" w:eastAsia="Times New Roman" w:hAnsi="Arial" w:cs="Arial"/>
                <w:sz w:val="24"/>
                <w:szCs w:val="24"/>
              </w:rPr>
            </w:pPr>
          </w:p>
        </w:tc>
        <w:tc>
          <w:tcPr>
            <w:tcW w:w="3402"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Wideband operation</w:t>
            </w:r>
          </w:p>
        </w:tc>
        <w:tc>
          <w:tcPr>
            <w:tcW w:w="3537" w:type="dxa"/>
            <w:vAlign w:val="center"/>
          </w:tcPr>
          <w:p w:rsidR="00C749BD"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Carrier aggregation</w:t>
            </w:r>
          </w:p>
          <w:p w:rsidR="00F01A15" w:rsidRPr="00485079" w:rsidRDefault="00F01A15" w:rsidP="00D42098">
            <w:pPr>
              <w:spacing w:after="0"/>
              <w:jc w:val="center"/>
              <w:rPr>
                <w:rFonts w:ascii="Arial" w:hAnsi="Arial" w:cs="Arial"/>
                <w:b/>
                <w:color w:val="000000"/>
                <w:sz w:val="24"/>
                <w:szCs w:val="24"/>
              </w:rPr>
            </w:pPr>
            <w:r>
              <w:rPr>
                <w:rFonts w:ascii="Arial" w:hAnsi="Arial" w:cs="Arial"/>
                <w:b/>
                <w:color w:val="000000"/>
                <w:sz w:val="24"/>
                <w:szCs w:val="24"/>
              </w:rPr>
              <w:t>(intra-band contiguous)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multiple CCs for BS</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No</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multiple CCs for UE</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PRB grid</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contiguous</w:t>
            </w:r>
          </w:p>
        </w:tc>
        <w:tc>
          <w:tcPr>
            <w:tcW w:w="3537" w:type="dxa"/>
            <w:vAlign w:val="center"/>
          </w:tcPr>
          <w:p w:rsidR="00C749BD"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non-contiguous</w:t>
            </w:r>
            <w:r w:rsidR="00F01A15">
              <w:rPr>
                <w:rFonts w:ascii="Arial" w:hAnsi="Arial" w:cs="Arial"/>
                <w:color w:val="000000"/>
                <w:sz w:val="24"/>
                <w:szCs w:val="24"/>
              </w:rPr>
              <w:t xml:space="preserve"> based on nominal channel spacing.</w:t>
            </w:r>
          </w:p>
          <w:p w:rsidR="00F01A15" w:rsidRPr="00485079" w:rsidRDefault="00F01A15" w:rsidP="00D42098">
            <w:pPr>
              <w:spacing w:after="0"/>
              <w:jc w:val="center"/>
              <w:rPr>
                <w:rFonts w:ascii="Arial" w:hAnsi="Arial" w:cs="Arial"/>
                <w:color w:val="000000"/>
                <w:sz w:val="24"/>
                <w:szCs w:val="24"/>
              </w:rPr>
            </w:pPr>
            <w:r>
              <w:rPr>
                <w:rFonts w:ascii="Arial" w:hAnsi="Arial" w:cs="Arial"/>
                <w:color w:val="000000"/>
                <w:sz w:val="24"/>
                <w:szCs w:val="24"/>
              </w:rPr>
              <w:t>Nominal channel spacing is FFS.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Guard band</w:t>
            </w:r>
          </w:p>
        </w:tc>
        <w:tc>
          <w:tcPr>
            <w:tcW w:w="3402" w:type="dxa"/>
            <w:vAlign w:val="center"/>
          </w:tcPr>
          <w:p w:rsidR="00C749BD" w:rsidRPr="00485079" w:rsidRDefault="00C76099" w:rsidP="00D42098">
            <w:pPr>
              <w:spacing w:after="0"/>
              <w:jc w:val="center"/>
              <w:rPr>
                <w:rFonts w:ascii="Arial" w:hAnsi="Arial" w:cs="Arial"/>
                <w:color w:val="000000"/>
                <w:sz w:val="24"/>
                <w:szCs w:val="24"/>
              </w:rPr>
            </w:pPr>
            <w:r>
              <w:rPr>
                <w:rFonts w:ascii="Arial" w:hAnsi="Arial" w:cs="Arial"/>
                <w:color w:val="000000"/>
                <w:sz w:val="24"/>
                <w:szCs w:val="24"/>
              </w:rPr>
              <w:t>z</w:t>
            </w:r>
            <w:r w:rsidR="00C749BD" w:rsidRPr="00485079">
              <w:rPr>
                <w:rFonts w:ascii="Arial" w:hAnsi="Arial" w:cs="Arial"/>
                <w:color w:val="000000"/>
                <w:sz w:val="24"/>
                <w:szCs w:val="24"/>
              </w:rPr>
              <w:t>ero GB</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non-zero GB based on nominal channel spacing</w:t>
            </w:r>
            <w:r w:rsidR="00D42098">
              <w:rPr>
                <w:rFonts w:ascii="Arial" w:hAnsi="Arial" w:cs="Arial"/>
                <w:color w:val="000000"/>
                <w:sz w:val="24"/>
                <w:szCs w:val="24"/>
              </w:rPr>
              <w:t xml:space="preserve">. Nominal channel spacing is </w:t>
            </w:r>
            <w:r w:rsidR="00F01A15">
              <w:rPr>
                <w:rFonts w:ascii="Arial" w:hAnsi="Arial" w:cs="Arial"/>
                <w:color w:val="000000"/>
                <w:sz w:val="24"/>
                <w:szCs w:val="24"/>
              </w:rPr>
              <w:t>FFS</w:t>
            </w:r>
            <w:r w:rsidR="00D42098">
              <w:rPr>
                <w:rFonts w:ascii="Arial" w:hAnsi="Arial" w:cs="Arial"/>
                <w:color w:val="000000"/>
                <w:sz w:val="24"/>
                <w:szCs w:val="24"/>
              </w:rPr>
              <w:t>.</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channel raster</w:t>
            </w:r>
            <w:r w:rsidR="00977DF1">
              <w:rPr>
                <w:rFonts w:ascii="Arial" w:hAnsi="Arial" w:cs="Arial"/>
                <w:b/>
                <w:color w:val="000000"/>
                <w:sz w:val="24"/>
                <w:szCs w:val="24"/>
              </w:rPr>
              <w:t xml:space="preserve"> for BS</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one raster point</w:t>
            </w:r>
          </w:p>
        </w:tc>
        <w:tc>
          <w:tcPr>
            <w:tcW w:w="3537" w:type="dxa"/>
            <w:vAlign w:val="center"/>
          </w:tcPr>
          <w:p w:rsidR="00C749BD" w:rsidRDefault="009825D4" w:rsidP="00D42098">
            <w:pPr>
              <w:spacing w:after="0"/>
              <w:jc w:val="center"/>
              <w:rPr>
                <w:rFonts w:ascii="Arial" w:hAnsi="Arial" w:cs="Arial"/>
                <w:color w:val="000000"/>
                <w:sz w:val="24"/>
                <w:szCs w:val="24"/>
              </w:rPr>
            </w:pPr>
            <w:r>
              <w:rPr>
                <w:rFonts w:ascii="Arial" w:hAnsi="Arial" w:cs="Arial"/>
                <w:color w:val="000000"/>
                <w:sz w:val="24"/>
                <w:szCs w:val="24"/>
              </w:rPr>
              <w:t>multiple</w:t>
            </w:r>
            <w:r w:rsidR="00C749BD" w:rsidRPr="00485079">
              <w:rPr>
                <w:rFonts w:ascii="Arial" w:hAnsi="Arial" w:cs="Arial"/>
                <w:color w:val="000000"/>
                <w:sz w:val="24"/>
                <w:szCs w:val="24"/>
              </w:rPr>
              <w:t xml:space="preserve"> raster points based on nominal channel spacing</w:t>
            </w:r>
            <w:r w:rsidR="00D42098">
              <w:rPr>
                <w:rFonts w:ascii="Arial" w:hAnsi="Arial" w:cs="Arial"/>
                <w:color w:val="000000"/>
                <w:sz w:val="24"/>
                <w:szCs w:val="24"/>
              </w:rPr>
              <w:t>.</w:t>
            </w:r>
          </w:p>
          <w:p w:rsidR="00D42098" w:rsidRPr="00485079" w:rsidRDefault="00D42098" w:rsidP="00D42098">
            <w:pPr>
              <w:spacing w:after="0"/>
              <w:jc w:val="center"/>
              <w:rPr>
                <w:rFonts w:ascii="Arial" w:hAnsi="Arial" w:cs="Arial"/>
                <w:color w:val="000000"/>
                <w:sz w:val="24"/>
                <w:szCs w:val="24"/>
              </w:rPr>
            </w:pPr>
            <w:r>
              <w:rPr>
                <w:rFonts w:ascii="Arial" w:hAnsi="Arial" w:cs="Arial"/>
                <w:color w:val="000000"/>
                <w:sz w:val="24"/>
                <w:szCs w:val="24"/>
              </w:rPr>
              <w:t xml:space="preserve">Nominal channel spacing is </w:t>
            </w:r>
            <w:r w:rsidR="00F01A15">
              <w:rPr>
                <w:rFonts w:ascii="Arial" w:hAnsi="Arial" w:cs="Arial"/>
                <w:color w:val="000000"/>
                <w:sz w:val="24"/>
                <w:szCs w:val="24"/>
              </w:rPr>
              <w:t>FFS</w:t>
            </w:r>
            <w:r>
              <w:rPr>
                <w:rFonts w:ascii="Arial" w:hAnsi="Arial" w:cs="Arial"/>
                <w:color w:val="000000"/>
                <w:sz w:val="24"/>
                <w:szCs w:val="24"/>
              </w:rPr>
              <w:t>.</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channel raster</w:t>
            </w:r>
            <w:r w:rsidR="00977DF1">
              <w:rPr>
                <w:rFonts w:ascii="Arial" w:hAnsi="Arial" w:cs="Arial"/>
                <w:b/>
                <w:color w:val="000000"/>
                <w:sz w:val="24"/>
                <w:szCs w:val="24"/>
              </w:rPr>
              <w:t xml:space="preserve"> for </w:t>
            </w:r>
            <w:r w:rsidR="00F01A15">
              <w:rPr>
                <w:rFonts w:ascii="Arial" w:hAnsi="Arial" w:cs="Arial"/>
                <w:b/>
                <w:color w:val="000000"/>
                <w:sz w:val="24"/>
                <w:szCs w:val="24"/>
              </w:rPr>
              <w:t>UE</w:t>
            </w:r>
          </w:p>
        </w:tc>
        <w:tc>
          <w:tcPr>
            <w:tcW w:w="3402" w:type="dxa"/>
            <w:vAlign w:val="center"/>
          </w:tcPr>
          <w:p w:rsidR="009825D4" w:rsidRDefault="009825D4" w:rsidP="00D42098">
            <w:pPr>
              <w:spacing w:after="0"/>
              <w:jc w:val="center"/>
              <w:rPr>
                <w:rFonts w:ascii="Arial" w:hAnsi="Arial" w:cs="Arial"/>
                <w:color w:val="000000"/>
                <w:sz w:val="24"/>
                <w:szCs w:val="24"/>
              </w:rPr>
            </w:pPr>
            <w:r>
              <w:rPr>
                <w:rFonts w:ascii="Arial" w:hAnsi="Arial" w:cs="Arial"/>
                <w:color w:val="000000"/>
                <w:sz w:val="24"/>
                <w:szCs w:val="24"/>
              </w:rPr>
              <w:t>One raster point</w:t>
            </w:r>
          </w:p>
          <w:p w:rsidR="00C749BD" w:rsidRPr="00485079" w:rsidRDefault="009825D4" w:rsidP="00D42098">
            <w:pPr>
              <w:spacing w:after="0"/>
              <w:jc w:val="center"/>
              <w:rPr>
                <w:rFonts w:ascii="Arial" w:hAnsi="Arial" w:cs="Arial"/>
                <w:color w:val="000000"/>
                <w:sz w:val="24"/>
                <w:szCs w:val="24"/>
              </w:rPr>
            </w:pPr>
            <w:r>
              <w:rPr>
                <w:rFonts w:ascii="Arial" w:hAnsi="Arial" w:cs="Arial"/>
                <w:color w:val="000000"/>
                <w:sz w:val="24"/>
                <w:szCs w:val="24"/>
              </w:rPr>
              <w:t>(or possibly multiple raster points</w:t>
            </w:r>
            <w:r w:rsidR="008831E3">
              <w:rPr>
                <w:rFonts w:ascii="Arial" w:hAnsi="Arial" w:cs="Arial"/>
                <w:color w:val="000000"/>
                <w:sz w:val="24"/>
                <w:szCs w:val="24"/>
              </w:rPr>
              <w:t xml:space="preserve"> for CCs</w:t>
            </w:r>
            <w:r>
              <w:rPr>
                <w:rFonts w:ascii="Arial" w:hAnsi="Arial" w:cs="Arial"/>
                <w:color w:val="000000"/>
                <w:sz w:val="24"/>
                <w:szCs w:val="24"/>
              </w:rPr>
              <w:t>)</w:t>
            </w:r>
          </w:p>
        </w:tc>
        <w:tc>
          <w:tcPr>
            <w:tcW w:w="3537" w:type="dxa"/>
            <w:vAlign w:val="center"/>
          </w:tcPr>
          <w:p w:rsidR="00C749BD" w:rsidRDefault="009825D4" w:rsidP="00D42098">
            <w:pPr>
              <w:spacing w:after="0"/>
              <w:jc w:val="center"/>
              <w:rPr>
                <w:rFonts w:ascii="Arial" w:hAnsi="Arial" w:cs="Arial"/>
                <w:color w:val="000000"/>
                <w:sz w:val="24"/>
                <w:szCs w:val="24"/>
              </w:rPr>
            </w:pPr>
            <w:r>
              <w:rPr>
                <w:rFonts w:ascii="Arial" w:hAnsi="Arial" w:cs="Arial"/>
                <w:color w:val="000000"/>
                <w:sz w:val="24"/>
                <w:szCs w:val="24"/>
              </w:rPr>
              <w:t>multiple</w:t>
            </w:r>
            <w:r w:rsidR="00C749BD" w:rsidRPr="00485079">
              <w:rPr>
                <w:rFonts w:ascii="Arial" w:hAnsi="Arial" w:cs="Arial"/>
                <w:color w:val="000000"/>
                <w:sz w:val="24"/>
                <w:szCs w:val="24"/>
              </w:rPr>
              <w:t xml:space="preserve"> raster points based on nominal channel spacing</w:t>
            </w:r>
            <w:r w:rsidR="00D42098">
              <w:rPr>
                <w:rFonts w:ascii="Arial" w:hAnsi="Arial" w:cs="Arial"/>
                <w:color w:val="000000"/>
                <w:sz w:val="24"/>
                <w:szCs w:val="24"/>
              </w:rPr>
              <w:t>.</w:t>
            </w:r>
          </w:p>
          <w:p w:rsidR="00D42098" w:rsidRPr="00485079" w:rsidRDefault="00D42098" w:rsidP="00D42098">
            <w:pPr>
              <w:spacing w:after="0"/>
              <w:jc w:val="center"/>
              <w:rPr>
                <w:rFonts w:ascii="Arial" w:hAnsi="Arial" w:cs="Arial"/>
                <w:color w:val="000000"/>
                <w:sz w:val="24"/>
                <w:szCs w:val="24"/>
              </w:rPr>
            </w:pPr>
            <w:r>
              <w:rPr>
                <w:rFonts w:ascii="Arial" w:hAnsi="Arial" w:cs="Arial"/>
                <w:color w:val="000000"/>
                <w:sz w:val="24"/>
                <w:szCs w:val="24"/>
              </w:rPr>
              <w:t xml:space="preserve">Nominal channel spacing is </w:t>
            </w:r>
            <w:r w:rsidR="00F01A15">
              <w:rPr>
                <w:rFonts w:ascii="Arial" w:hAnsi="Arial" w:cs="Arial"/>
                <w:color w:val="000000"/>
                <w:sz w:val="24"/>
                <w:szCs w:val="24"/>
              </w:rPr>
              <w:t>FFS</w:t>
            </w:r>
            <w:r>
              <w:rPr>
                <w:rFonts w:ascii="Arial" w:hAnsi="Arial" w:cs="Arial"/>
                <w:color w:val="000000"/>
                <w:sz w:val="24"/>
                <w:szCs w:val="24"/>
              </w:rPr>
              <w:t>.</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Support of 100kHz channel raster</w:t>
            </w:r>
          </w:p>
        </w:tc>
        <w:tc>
          <w:tcPr>
            <w:tcW w:w="3402" w:type="dxa"/>
            <w:vAlign w:val="center"/>
          </w:tcPr>
          <w:p w:rsidR="009D031F" w:rsidRDefault="009D031F" w:rsidP="00D42098">
            <w:pPr>
              <w:spacing w:after="0"/>
              <w:jc w:val="center"/>
              <w:rPr>
                <w:rFonts w:ascii="Arial" w:hAnsi="Arial" w:cs="Arial"/>
                <w:color w:val="000000"/>
                <w:sz w:val="24"/>
                <w:szCs w:val="24"/>
              </w:rPr>
            </w:pPr>
            <w:r>
              <w:rPr>
                <w:rFonts w:ascii="Arial" w:hAnsi="Arial" w:cs="Arial"/>
                <w:color w:val="000000"/>
                <w:sz w:val="24"/>
                <w:szCs w:val="24"/>
              </w:rPr>
              <w:t>No</w:t>
            </w:r>
          </w:p>
          <w:p w:rsidR="00C749BD" w:rsidRPr="00485079" w:rsidRDefault="009D031F" w:rsidP="00D42098">
            <w:pPr>
              <w:spacing w:after="0"/>
              <w:jc w:val="center"/>
              <w:rPr>
                <w:rFonts w:ascii="Arial" w:hAnsi="Arial" w:cs="Arial"/>
                <w:color w:val="000000"/>
                <w:sz w:val="24"/>
                <w:szCs w:val="24"/>
              </w:rPr>
            </w:pPr>
            <w:r>
              <w:rPr>
                <w:rFonts w:ascii="Arial" w:hAnsi="Arial" w:cs="Arial"/>
                <w:color w:val="000000"/>
                <w:sz w:val="24"/>
                <w:szCs w:val="24"/>
              </w:rPr>
              <w:lastRenderedPageBreak/>
              <w:t xml:space="preserve">(or </w:t>
            </w:r>
            <w:r w:rsidR="00BB2E33">
              <w:rPr>
                <w:rFonts w:ascii="Arial" w:hAnsi="Arial" w:cs="Arial"/>
                <w:color w:val="000000"/>
                <w:sz w:val="24"/>
                <w:szCs w:val="24"/>
              </w:rPr>
              <w:t>FFS</w:t>
            </w:r>
            <w:r w:rsidR="00932681">
              <w:rPr>
                <w:rFonts w:ascii="Arial" w:hAnsi="Arial" w:cs="Arial"/>
                <w:color w:val="000000"/>
                <w:sz w:val="24"/>
                <w:szCs w:val="24"/>
              </w:rPr>
              <w:t xml:space="preserve"> if there is interested companies</w:t>
            </w:r>
            <w:r>
              <w:rPr>
                <w:rFonts w:ascii="Arial" w:hAnsi="Arial" w:cs="Arial"/>
                <w:color w:val="000000"/>
                <w:sz w:val="24"/>
                <w:szCs w:val="24"/>
              </w:rPr>
              <w:t>)</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lastRenderedPageBreak/>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Support of subcarrier based raster</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BS Transceiver requirement</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single carrier</w:t>
            </w:r>
          </w:p>
        </w:tc>
        <w:tc>
          <w:tcPr>
            <w:tcW w:w="3537" w:type="dxa"/>
            <w:vAlign w:val="center"/>
          </w:tcPr>
          <w:p w:rsidR="00C749BD"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CA based</w:t>
            </w:r>
          </w:p>
          <w:p w:rsidR="001649FD" w:rsidRPr="00485079" w:rsidRDefault="001649FD" w:rsidP="00D42098">
            <w:pPr>
              <w:spacing w:after="0"/>
              <w:jc w:val="center"/>
              <w:rPr>
                <w:rFonts w:ascii="Arial" w:hAnsi="Arial" w:cs="Arial"/>
                <w:color w:val="000000"/>
                <w:sz w:val="24"/>
                <w:szCs w:val="24"/>
              </w:rPr>
            </w:pPr>
            <w:r>
              <w:rPr>
                <w:rFonts w:ascii="Arial" w:hAnsi="Arial" w:cs="Arial"/>
                <w:color w:val="000000"/>
                <w:sz w:val="24"/>
                <w:szCs w:val="24"/>
              </w:rPr>
              <w:t xml:space="preserve">(LTE </w:t>
            </w:r>
            <w:r w:rsidR="00F01A15">
              <w:rPr>
                <w:rFonts w:ascii="Arial" w:hAnsi="Arial" w:cs="Arial"/>
                <w:color w:val="000000"/>
                <w:sz w:val="24"/>
                <w:szCs w:val="24"/>
              </w:rPr>
              <w:t xml:space="preserve">intra-band contiguous </w:t>
            </w:r>
            <w:r>
              <w:rPr>
                <w:rFonts w:ascii="Arial" w:hAnsi="Arial" w:cs="Arial"/>
                <w:color w:val="000000"/>
                <w:sz w:val="24"/>
                <w:szCs w:val="24"/>
              </w:rPr>
              <w:t>CA as reference)</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UE Transceiver requirement</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aligned with single carrier RF requirement of the wideband CC</w:t>
            </w:r>
          </w:p>
        </w:tc>
        <w:tc>
          <w:tcPr>
            <w:tcW w:w="3537" w:type="dxa"/>
            <w:vAlign w:val="center"/>
          </w:tcPr>
          <w:p w:rsidR="00C749BD"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CA based</w:t>
            </w:r>
          </w:p>
          <w:p w:rsidR="001649FD" w:rsidRPr="00485079" w:rsidRDefault="001649FD" w:rsidP="00D42098">
            <w:pPr>
              <w:spacing w:after="0"/>
              <w:jc w:val="center"/>
              <w:rPr>
                <w:rFonts w:ascii="Arial" w:hAnsi="Arial" w:cs="Arial"/>
                <w:color w:val="000000"/>
                <w:sz w:val="24"/>
                <w:szCs w:val="24"/>
              </w:rPr>
            </w:pPr>
            <w:r>
              <w:rPr>
                <w:rFonts w:ascii="Arial" w:hAnsi="Arial" w:cs="Arial"/>
                <w:color w:val="000000"/>
                <w:sz w:val="24"/>
                <w:szCs w:val="24"/>
              </w:rPr>
              <w:t xml:space="preserve">(LTE </w:t>
            </w:r>
            <w:r w:rsidR="00F01A15">
              <w:rPr>
                <w:rFonts w:ascii="Arial" w:hAnsi="Arial" w:cs="Arial"/>
                <w:color w:val="000000"/>
                <w:sz w:val="24"/>
                <w:szCs w:val="24"/>
              </w:rPr>
              <w:t xml:space="preserve">intra-band contiguous </w:t>
            </w:r>
            <w:r>
              <w:rPr>
                <w:rFonts w:ascii="Arial" w:hAnsi="Arial" w:cs="Arial"/>
                <w:color w:val="000000"/>
                <w:sz w:val="24"/>
                <w:szCs w:val="24"/>
              </w:rPr>
              <w:t>CA as reference)</w:t>
            </w:r>
          </w:p>
        </w:tc>
      </w:tr>
      <w:tr w:rsidR="00C749BD" w:rsidTr="00C5502C">
        <w:tc>
          <w:tcPr>
            <w:tcW w:w="2689" w:type="dxa"/>
            <w:vAlign w:val="center"/>
          </w:tcPr>
          <w:p w:rsidR="00C749BD" w:rsidRPr="00485079" w:rsidRDefault="00F01A15" w:rsidP="00D42098">
            <w:pPr>
              <w:spacing w:after="0"/>
              <w:jc w:val="center"/>
              <w:rPr>
                <w:rFonts w:ascii="Arial" w:hAnsi="Arial" w:cs="Arial"/>
                <w:b/>
                <w:color w:val="000000"/>
                <w:sz w:val="24"/>
                <w:szCs w:val="24"/>
              </w:rPr>
            </w:pPr>
            <w:r>
              <w:rPr>
                <w:rFonts w:ascii="Arial" w:hAnsi="Arial" w:cs="Arial"/>
                <w:b/>
                <w:color w:val="000000"/>
                <w:sz w:val="24"/>
                <w:szCs w:val="24"/>
              </w:rPr>
              <w:t xml:space="preserve">UE </w:t>
            </w:r>
            <w:r w:rsidR="00C749BD" w:rsidRPr="00485079">
              <w:rPr>
                <w:rFonts w:ascii="Arial" w:hAnsi="Arial" w:cs="Arial"/>
                <w:b/>
                <w:color w:val="000000"/>
                <w:sz w:val="24"/>
                <w:szCs w:val="24"/>
              </w:rPr>
              <w:t>Spectrum Utilization</w:t>
            </w:r>
          </w:p>
        </w:tc>
        <w:tc>
          <w:tcPr>
            <w:tcW w:w="3402" w:type="dxa"/>
            <w:vAlign w:val="center"/>
          </w:tcPr>
          <w:p w:rsidR="00C749BD"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The same as wideband CC</w:t>
            </w:r>
          </w:p>
          <w:p w:rsidR="00F01A15" w:rsidRPr="00485079" w:rsidRDefault="00F01A15" w:rsidP="00D42098">
            <w:pPr>
              <w:spacing w:after="0"/>
              <w:jc w:val="center"/>
              <w:rPr>
                <w:rFonts w:ascii="Arial" w:hAnsi="Arial" w:cs="Arial"/>
                <w:color w:val="000000"/>
                <w:sz w:val="24"/>
                <w:szCs w:val="24"/>
              </w:rPr>
            </w:pPr>
            <w:r>
              <w:rPr>
                <w:rFonts w:ascii="Arial" w:hAnsi="Arial" w:cs="Arial"/>
                <w:color w:val="000000"/>
                <w:sz w:val="24"/>
                <w:szCs w:val="24"/>
              </w:rPr>
              <w:t>(only up to maximum channel bandwidth in Rel-15.)</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Per CC based</w:t>
            </w:r>
          </w:p>
        </w:tc>
      </w:tr>
    </w:tbl>
    <w:p w:rsidR="00DE3102" w:rsidRDefault="00DE3102" w:rsidP="00BD5C14">
      <w:pPr>
        <w:rPr>
          <w:lang w:val="en-GB" w:eastAsia="en-US"/>
        </w:rPr>
      </w:pPr>
    </w:p>
    <w:p w:rsidR="002A78E4" w:rsidRPr="00583360" w:rsidRDefault="00EB1759" w:rsidP="00BD5C14">
      <w:r w:rsidRPr="00F57390" w:rsidDel="002D31EC">
        <w:rPr>
          <w:lang w:val="en-GB" w:eastAsia="en-US"/>
        </w:rPr>
        <w:t xml:space="preserve"> </w:t>
      </w:r>
    </w:p>
    <w:p w:rsidR="00FD060A" w:rsidRDefault="00FD060A" w:rsidP="00FD060A">
      <w:pPr>
        <w:pStyle w:val="Heading1"/>
      </w:pPr>
      <w:r>
        <w:t>3</w:t>
      </w:r>
      <w:r>
        <w:tab/>
        <w:t>Conclusion</w:t>
      </w:r>
    </w:p>
    <w:p w:rsidR="00E7015F" w:rsidRPr="00040D58" w:rsidRDefault="00C749BD" w:rsidP="00E7015F">
      <w:pPr>
        <w:rPr>
          <w:lang w:val="en-GB"/>
        </w:rPr>
      </w:pPr>
      <w:r>
        <w:rPr>
          <w:lang w:val="en-GB"/>
        </w:rPr>
        <w:t>We have discussed the RF requirements for wideband operation and carrier aggregation</w:t>
      </w:r>
      <w:r w:rsidR="002A78E4">
        <w:rPr>
          <w:lang w:val="en-GB"/>
        </w:rPr>
        <w:t>.</w:t>
      </w:r>
      <w:r>
        <w:rPr>
          <w:lang w:val="en-GB"/>
        </w:rPr>
        <w:t xml:space="preserve"> The following proposal are derived.</w:t>
      </w:r>
    </w:p>
    <w:p w:rsidR="00C749BD" w:rsidRDefault="00040D58" w:rsidP="00040D58">
      <w:pPr>
        <w:rPr>
          <w:b/>
          <w:i/>
          <w:lang w:val="en-GB"/>
        </w:rPr>
      </w:pPr>
      <w:r w:rsidRPr="00E7015F">
        <w:rPr>
          <w:b/>
          <w:i/>
          <w:lang w:val="en-GB"/>
        </w:rPr>
        <w:t xml:space="preserve">Proposal </w:t>
      </w:r>
      <w:r>
        <w:rPr>
          <w:b/>
          <w:i/>
          <w:lang w:val="en-GB"/>
        </w:rPr>
        <w:t>1</w:t>
      </w:r>
      <w:r w:rsidRPr="00E7015F">
        <w:rPr>
          <w:b/>
          <w:i/>
          <w:lang w:val="en-GB"/>
        </w:rPr>
        <w:t xml:space="preserve">: </w:t>
      </w:r>
      <w:r w:rsidR="00C749BD">
        <w:rPr>
          <w:b/>
          <w:i/>
          <w:lang w:val="en-GB"/>
        </w:rPr>
        <w:t>RF requirements for wideband operation and carrier aggregation</w:t>
      </w:r>
      <w:r w:rsidR="009D153C">
        <w:rPr>
          <w:b/>
          <w:i/>
          <w:lang w:val="en-GB"/>
        </w:rPr>
        <w:t xml:space="preserve"> are distinguished</w:t>
      </w:r>
      <w:r w:rsidR="00C749BD">
        <w:rPr>
          <w:b/>
          <w:i/>
          <w:lang w:val="en-GB"/>
        </w:rPr>
        <w:t>.</w:t>
      </w:r>
    </w:p>
    <w:p w:rsidR="00040D58" w:rsidRDefault="00C749BD" w:rsidP="00040D58">
      <w:pPr>
        <w:rPr>
          <w:b/>
          <w:i/>
          <w:lang w:val="en-GB"/>
        </w:rPr>
      </w:pPr>
      <w:r>
        <w:rPr>
          <w:b/>
          <w:i/>
          <w:lang w:val="en-GB"/>
        </w:rPr>
        <w:t xml:space="preserve">Proposal 2: </w:t>
      </w:r>
      <w:r w:rsidR="00040D58" w:rsidRPr="00E7015F">
        <w:rPr>
          <w:b/>
          <w:i/>
          <w:lang w:val="en-GB"/>
        </w:rPr>
        <w:t>UE RF requirement for wideband operation shall be specified</w:t>
      </w:r>
      <w:r w:rsidR="00040D58">
        <w:rPr>
          <w:b/>
          <w:i/>
          <w:lang w:val="en-GB"/>
        </w:rPr>
        <w:t xml:space="preserve"> </w:t>
      </w:r>
      <w:r w:rsidR="00485079">
        <w:rPr>
          <w:b/>
          <w:i/>
          <w:lang w:val="en-GB"/>
        </w:rPr>
        <w:t xml:space="preserve">according to the single </w:t>
      </w:r>
      <w:r w:rsidR="009D153C">
        <w:rPr>
          <w:b/>
          <w:i/>
          <w:lang w:val="en-GB"/>
        </w:rPr>
        <w:t xml:space="preserve">(wideband) </w:t>
      </w:r>
      <w:r w:rsidR="00485079">
        <w:rPr>
          <w:b/>
          <w:i/>
          <w:lang w:val="en-GB"/>
        </w:rPr>
        <w:t>carrier requirement.</w:t>
      </w:r>
    </w:p>
    <w:p w:rsidR="00EB1759" w:rsidRDefault="00C749BD" w:rsidP="00A47DF1">
      <w:pPr>
        <w:rPr>
          <w:b/>
          <w:i/>
          <w:lang w:val="en-GB"/>
        </w:rPr>
      </w:pPr>
      <w:r>
        <w:rPr>
          <w:b/>
          <w:i/>
          <w:lang w:val="en-GB"/>
        </w:rPr>
        <w:t xml:space="preserve">Proposal 3 </w:t>
      </w:r>
      <w:r w:rsidR="00485079">
        <w:rPr>
          <w:b/>
          <w:i/>
          <w:lang w:val="en-GB"/>
        </w:rPr>
        <w:t xml:space="preserve">UE </w:t>
      </w:r>
      <w:r w:rsidR="009D153C">
        <w:rPr>
          <w:b/>
          <w:i/>
          <w:lang w:val="en-GB"/>
        </w:rPr>
        <w:t xml:space="preserve">RF </w:t>
      </w:r>
      <w:r w:rsidR="00485079">
        <w:rPr>
          <w:b/>
          <w:i/>
          <w:lang w:val="en-GB"/>
        </w:rPr>
        <w:t xml:space="preserve">requirement </w:t>
      </w:r>
      <w:r w:rsidR="009D153C">
        <w:rPr>
          <w:b/>
          <w:i/>
          <w:lang w:val="en-GB"/>
        </w:rPr>
        <w:t>for carrier aggregation shall be specified according to</w:t>
      </w:r>
      <w:r w:rsidR="00E62E80">
        <w:rPr>
          <w:b/>
          <w:i/>
          <w:lang w:val="en-GB"/>
        </w:rPr>
        <w:t xml:space="preserve"> </w:t>
      </w:r>
      <w:r w:rsidR="00A67BF8">
        <w:rPr>
          <w:b/>
          <w:i/>
          <w:lang w:val="en-GB"/>
        </w:rPr>
        <w:t xml:space="preserve">E-UTRA </w:t>
      </w:r>
      <w:r w:rsidR="00DA1624">
        <w:rPr>
          <w:b/>
          <w:i/>
          <w:lang w:val="en-GB"/>
        </w:rPr>
        <w:t xml:space="preserve">CA </w:t>
      </w:r>
      <w:r w:rsidR="00A67BF8">
        <w:rPr>
          <w:b/>
          <w:i/>
          <w:lang w:val="en-GB"/>
        </w:rPr>
        <w:t>requirement as a starting point</w:t>
      </w:r>
      <w:r w:rsidR="00485079">
        <w:rPr>
          <w:b/>
          <w:i/>
          <w:lang w:val="en-GB"/>
        </w:rPr>
        <w:t>.</w:t>
      </w:r>
    </w:p>
    <w:p w:rsidR="00E62E80" w:rsidRPr="00EB1759" w:rsidRDefault="00E62E80" w:rsidP="00A47DF1">
      <w:pPr>
        <w:rPr>
          <w:b/>
          <w:i/>
          <w:lang w:eastAsia="en-US"/>
        </w:rPr>
      </w:pPr>
    </w:p>
    <w:p w:rsidR="00423A6A" w:rsidRPr="0032713B" w:rsidRDefault="002E6D98" w:rsidP="00F57390">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p>
    <w:p w:rsidR="00611038" w:rsidRPr="00485079" w:rsidRDefault="00C536CD" w:rsidP="00485079">
      <w:pPr>
        <w:numPr>
          <w:ilvl w:val="0"/>
          <w:numId w:val="1"/>
        </w:numPr>
        <w:tabs>
          <w:tab w:val="num" w:pos="1440"/>
        </w:tabs>
        <w:spacing w:after="120"/>
        <w:jc w:val="both"/>
        <w:rPr>
          <w:rFonts w:ascii="Calibri" w:hAnsi="Calibri"/>
          <w:bCs/>
          <w:noProof/>
        </w:rPr>
      </w:pPr>
      <w:r w:rsidRPr="00485079">
        <w:rPr>
          <w:rFonts w:ascii="Calibri" w:hAnsi="Calibri"/>
          <w:bCs/>
          <w:noProof/>
        </w:rPr>
        <w:t>R1-1706615</w:t>
      </w:r>
      <w:r w:rsidRPr="00485079">
        <w:rPr>
          <w:rFonts w:ascii="Calibri" w:hAnsi="Calibri"/>
          <w:bCs/>
          <w:noProof/>
        </w:rPr>
        <w:tab/>
      </w:r>
      <w:r w:rsidRPr="00485079">
        <w:rPr>
          <w:rFonts w:ascii="Calibri" w:hAnsi="Calibri"/>
          <w:bCs/>
          <w:noProof/>
        </w:rPr>
        <w:tab/>
        <w:t>LS on Wideband Operating Options</w:t>
      </w:r>
    </w:p>
    <w:p w:rsidR="00485079" w:rsidRPr="00485079" w:rsidRDefault="00485079" w:rsidP="001E0CEC">
      <w:pPr>
        <w:numPr>
          <w:ilvl w:val="0"/>
          <w:numId w:val="1"/>
        </w:numPr>
        <w:spacing w:after="120"/>
        <w:jc w:val="both"/>
        <w:rPr>
          <w:rFonts w:ascii="Calibri" w:hAnsi="Calibri"/>
          <w:bCs/>
          <w:noProof/>
        </w:rPr>
      </w:pPr>
      <w:r>
        <w:rPr>
          <w:rFonts w:ascii="Calibri" w:hAnsi="Calibri"/>
          <w:bCs/>
          <w:noProof/>
        </w:rPr>
        <w:t>R4-1708849</w:t>
      </w:r>
      <w:r>
        <w:rPr>
          <w:rFonts w:ascii="Calibri" w:hAnsi="Calibri"/>
          <w:bCs/>
          <w:noProof/>
        </w:rPr>
        <w:tab/>
      </w:r>
      <w:r w:rsidR="00C536CD" w:rsidRPr="00485079">
        <w:rPr>
          <w:rFonts w:ascii="Calibri" w:hAnsi="Calibri"/>
          <w:bCs/>
          <w:noProof/>
        </w:rPr>
        <w:t>WF on Further clarification on wideb</w:t>
      </w:r>
      <w:r>
        <w:rPr>
          <w:rFonts w:ascii="Calibri" w:hAnsi="Calibri"/>
          <w:bCs/>
          <w:noProof/>
        </w:rPr>
        <w:t xml:space="preserve">and operation,  LGE, MediaTek, </w:t>
      </w:r>
      <w:r w:rsidR="00C536CD" w:rsidRPr="00485079">
        <w:rPr>
          <w:rFonts w:ascii="Calibri" w:hAnsi="Calibri"/>
          <w:bCs/>
          <w:noProof/>
        </w:rPr>
        <w:t>Huawei,</w:t>
      </w:r>
      <w:r>
        <w:rPr>
          <w:rFonts w:ascii="Calibri" w:hAnsi="Calibri"/>
          <w:bCs/>
          <w:noProof/>
        </w:rPr>
        <w:t xml:space="preserve"> Nokia, ZTE</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rPr>
        <w:t>R4-1708851</w:t>
      </w:r>
      <w:r w:rsidRPr="00485079">
        <w:rPr>
          <w:rFonts w:ascii="Calibri" w:hAnsi="Calibri"/>
          <w:bCs/>
          <w:noProof/>
        </w:rPr>
        <w:tab/>
        <w:t>WF on spectrum util</w:t>
      </w:r>
      <w:r w:rsidR="00485079">
        <w:rPr>
          <w:rFonts w:ascii="Calibri" w:hAnsi="Calibri"/>
          <w:bCs/>
          <w:noProof/>
        </w:rPr>
        <w:t xml:space="preserve">ization in wideband operation, </w:t>
      </w:r>
      <w:r w:rsidRPr="00485079">
        <w:rPr>
          <w:rFonts w:ascii="Calibri" w:hAnsi="Calibri"/>
          <w:bCs/>
          <w:noProof/>
        </w:rPr>
        <w:t>ZTE</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R4-1709579</w:t>
      </w:r>
      <w:r w:rsidRPr="00485079">
        <w:rPr>
          <w:rFonts w:ascii="Calibri" w:hAnsi="Calibri"/>
          <w:bCs/>
          <w:noProof/>
          <w:lang w:val="en-GB"/>
        </w:rPr>
        <w:tab/>
        <w:t>Further clarification for Wideband operation of NR UE</w:t>
      </w:r>
      <w:r w:rsidR="00485079">
        <w:rPr>
          <w:rFonts w:ascii="Calibri" w:hAnsi="Calibri"/>
          <w:bCs/>
          <w:noProof/>
          <w:lang w:val="en-GB"/>
        </w:rPr>
        <w:t>, LGE</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R4-1709346</w:t>
      </w:r>
      <w:r w:rsidRPr="00485079">
        <w:rPr>
          <w:rFonts w:ascii="Calibri" w:hAnsi="Calibri"/>
          <w:bCs/>
          <w:noProof/>
          <w:lang w:val="en-GB"/>
        </w:rPr>
        <w:tab/>
        <w:t>Further discu</w:t>
      </w:r>
      <w:r w:rsidR="00485079">
        <w:rPr>
          <w:rFonts w:ascii="Calibri" w:hAnsi="Calibri"/>
          <w:bCs/>
          <w:noProof/>
          <w:lang w:val="en-GB"/>
        </w:rPr>
        <w:t xml:space="preserve">ssion on wideband operation, </w:t>
      </w:r>
      <w:r w:rsidRPr="00485079">
        <w:rPr>
          <w:rFonts w:ascii="Calibri" w:hAnsi="Calibri"/>
          <w:bCs/>
          <w:noProof/>
          <w:lang w:val="en-GB"/>
        </w:rPr>
        <w:t>Samsung</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R4-1709744</w:t>
      </w:r>
      <w:r w:rsidRPr="00485079">
        <w:rPr>
          <w:rFonts w:ascii="Calibri" w:hAnsi="Calibri"/>
          <w:bCs/>
          <w:noProof/>
          <w:lang w:val="en-GB"/>
        </w:rPr>
        <w:tab/>
        <w:t>UE spectrum utilization in wideband operation</w:t>
      </w:r>
      <w:r w:rsidR="00485079">
        <w:rPr>
          <w:rFonts w:ascii="Calibri" w:hAnsi="Calibri"/>
          <w:bCs/>
          <w:noProof/>
          <w:lang w:val="en-GB"/>
        </w:rPr>
        <w:t>,</w:t>
      </w:r>
      <w:r w:rsidRPr="00485079">
        <w:rPr>
          <w:rFonts w:ascii="Calibri" w:hAnsi="Calibri"/>
          <w:bCs/>
          <w:noProof/>
          <w:lang w:val="en-GB"/>
        </w:rPr>
        <w:tab/>
        <w:t>Nokia</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R4-1709385</w:t>
      </w:r>
      <w:r w:rsidRPr="00485079">
        <w:rPr>
          <w:rFonts w:ascii="Calibri" w:hAnsi="Calibri"/>
          <w:bCs/>
          <w:noProof/>
          <w:lang w:val="en-GB"/>
        </w:rPr>
        <w:tab/>
        <w:t>Further consideration on spectrum ut</w:t>
      </w:r>
      <w:r w:rsidR="00485079">
        <w:rPr>
          <w:rFonts w:ascii="Calibri" w:hAnsi="Calibri"/>
          <w:bCs/>
          <w:noProof/>
          <w:lang w:val="en-GB"/>
        </w:rPr>
        <w:t xml:space="preserve">ilization in wideband operation, </w:t>
      </w:r>
      <w:r w:rsidRPr="00485079">
        <w:rPr>
          <w:rFonts w:ascii="Calibri" w:hAnsi="Calibri"/>
          <w:bCs/>
          <w:noProof/>
          <w:lang w:val="en-GB"/>
        </w:rPr>
        <w:t>ZTE</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R4-1709722</w:t>
      </w:r>
      <w:r w:rsidRPr="00485079">
        <w:rPr>
          <w:rFonts w:ascii="Calibri" w:hAnsi="Calibri"/>
          <w:bCs/>
          <w:noProof/>
          <w:lang w:val="en-GB"/>
        </w:rPr>
        <w:tab/>
        <w:t>Wideband and CA Operation for NR</w:t>
      </w:r>
      <w:r w:rsidR="00485079">
        <w:rPr>
          <w:rFonts w:ascii="Calibri" w:hAnsi="Calibri"/>
          <w:bCs/>
          <w:noProof/>
          <w:lang w:val="en-GB"/>
        </w:rPr>
        <w:t xml:space="preserve">, </w:t>
      </w:r>
      <w:r w:rsidRPr="00485079">
        <w:rPr>
          <w:rFonts w:ascii="Calibri" w:hAnsi="Calibri"/>
          <w:bCs/>
          <w:noProof/>
          <w:lang w:val="en-GB"/>
        </w:rPr>
        <w:t>Qualcomm</w:t>
      </w:r>
    </w:p>
    <w:p w:rsidR="00611038" w:rsidRPr="00485079" w:rsidRDefault="00C536CD" w:rsidP="00485079">
      <w:pPr>
        <w:numPr>
          <w:ilvl w:val="0"/>
          <w:numId w:val="1"/>
        </w:numPr>
        <w:spacing w:after="120"/>
        <w:jc w:val="both"/>
        <w:rPr>
          <w:rFonts w:ascii="Calibri" w:hAnsi="Calibri"/>
          <w:bCs/>
          <w:noProof/>
        </w:rPr>
      </w:pPr>
      <w:r w:rsidRPr="00485079">
        <w:rPr>
          <w:rFonts w:ascii="Calibri" w:hAnsi="Calibri"/>
          <w:bCs/>
          <w:noProof/>
          <w:lang w:val="en-GB"/>
        </w:rPr>
        <w:t>R4-1709407</w:t>
      </w:r>
      <w:r w:rsidRPr="00485079">
        <w:rPr>
          <w:rFonts w:ascii="Calibri" w:hAnsi="Calibri"/>
          <w:bCs/>
          <w:noProof/>
          <w:lang w:val="en-GB"/>
        </w:rPr>
        <w:tab/>
        <w:t>On UE bandwidth support in NR</w:t>
      </w:r>
      <w:r w:rsidR="00485079">
        <w:rPr>
          <w:rFonts w:ascii="Calibri" w:hAnsi="Calibri"/>
          <w:bCs/>
          <w:noProof/>
          <w:lang w:val="en-GB"/>
        </w:rPr>
        <w:t xml:space="preserve">, </w:t>
      </w:r>
      <w:r w:rsidRPr="00485079">
        <w:rPr>
          <w:rFonts w:ascii="Calibri" w:hAnsi="Calibri"/>
          <w:bCs/>
          <w:noProof/>
          <w:lang w:val="en-GB"/>
        </w:rPr>
        <w:t>Intel</w:t>
      </w:r>
    </w:p>
    <w:p w:rsidR="00485079" w:rsidRPr="00485079" w:rsidRDefault="002F7D6C" w:rsidP="00485079">
      <w:pPr>
        <w:numPr>
          <w:ilvl w:val="0"/>
          <w:numId w:val="1"/>
        </w:numPr>
        <w:spacing w:after="120"/>
        <w:jc w:val="both"/>
        <w:rPr>
          <w:rFonts w:ascii="Calibri" w:hAnsi="Calibri"/>
          <w:bCs/>
          <w:noProof/>
        </w:rPr>
      </w:pPr>
      <w:r>
        <w:rPr>
          <w:rFonts w:ascii="Calibri" w:hAnsi="Calibri"/>
          <w:bCs/>
          <w:noProof/>
          <w:lang w:val="en-GB"/>
        </w:rPr>
        <w:t xml:space="preserve"> </w:t>
      </w:r>
      <w:r w:rsidR="00485079">
        <w:rPr>
          <w:rFonts w:ascii="Calibri" w:hAnsi="Calibri"/>
          <w:bCs/>
          <w:noProof/>
          <w:lang w:val="en-GB"/>
        </w:rPr>
        <w:t>R4-1709933</w:t>
      </w:r>
      <w:r w:rsidR="00485079">
        <w:rPr>
          <w:rFonts w:ascii="Calibri" w:hAnsi="Calibri"/>
          <w:bCs/>
          <w:noProof/>
          <w:lang w:val="en-GB"/>
        </w:rPr>
        <w:tab/>
      </w:r>
      <w:r w:rsidR="00485079" w:rsidRPr="00485079">
        <w:rPr>
          <w:rFonts w:ascii="Calibri" w:hAnsi="Calibri"/>
          <w:bCs/>
          <w:noProof/>
          <w:lang w:val="de-DE"/>
        </w:rPr>
        <w:t>WF on wideband operation for both gNB/UE aspects</w:t>
      </w:r>
    </w:p>
    <w:p w:rsidR="00040D58" w:rsidRPr="00026F99" w:rsidRDefault="00485079" w:rsidP="00040D58">
      <w:pPr>
        <w:numPr>
          <w:ilvl w:val="0"/>
          <w:numId w:val="1"/>
        </w:numPr>
        <w:spacing w:after="120"/>
        <w:jc w:val="both"/>
        <w:rPr>
          <w:rFonts w:ascii="Calibri" w:hAnsi="Calibri"/>
          <w:bCs/>
          <w:noProof/>
        </w:rPr>
      </w:pPr>
      <w:r>
        <w:rPr>
          <w:rFonts w:ascii="Calibri" w:hAnsi="Calibri"/>
          <w:bCs/>
          <w:noProof/>
        </w:rPr>
        <w:t xml:space="preserve"> </w:t>
      </w:r>
      <w:r w:rsidR="00040D58" w:rsidRPr="00026F99">
        <w:rPr>
          <w:rFonts w:ascii="Calibri" w:hAnsi="Calibri"/>
          <w:bCs/>
          <w:noProof/>
        </w:rPr>
        <w:t>R4-1709075</w:t>
      </w:r>
      <w:r w:rsidR="00040D58" w:rsidRPr="00026F99">
        <w:rPr>
          <w:rFonts w:ascii="Calibri" w:hAnsi="Calibri"/>
          <w:bCs/>
          <w:noProof/>
        </w:rPr>
        <w:tab/>
        <w:t>Way forward on spectrum utilization, Samsung, Qualcomm, Intel, Ericsson, Nokia</w:t>
      </w:r>
    </w:p>
    <w:p w:rsidR="00055878" w:rsidRPr="00026F99" w:rsidRDefault="00485079" w:rsidP="00264AE8">
      <w:pPr>
        <w:numPr>
          <w:ilvl w:val="0"/>
          <w:numId w:val="1"/>
        </w:numPr>
        <w:spacing w:after="120"/>
        <w:jc w:val="both"/>
      </w:pPr>
      <w:r>
        <w:rPr>
          <w:rFonts w:ascii="Calibri" w:hAnsi="Calibri"/>
          <w:bCs/>
          <w:noProof/>
        </w:rPr>
        <w:t xml:space="preserve"> </w:t>
      </w:r>
      <w:r w:rsidR="00055878" w:rsidRPr="00026F99">
        <w:rPr>
          <w:rFonts w:ascii="Calibri" w:hAnsi="Calibri"/>
          <w:bCs/>
          <w:noProof/>
        </w:rPr>
        <w:t>R4-1708850</w:t>
      </w:r>
      <w:r w:rsidR="00055878" w:rsidRPr="00026F99">
        <w:rPr>
          <w:rFonts w:ascii="Calibri" w:hAnsi="Calibri"/>
          <w:bCs/>
          <w:noProof/>
        </w:rPr>
        <w:tab/>
        <w:t>WF on Channel Raster for NR, Qualcomm, Ericsson,</w:t>
      </w:r>
      <w:r w:rsidR="00055878" w:rsidRPr="00026F99">
        <w:rPr>
          <w:rFonts w:ascii="Calibri" w:hAnsi="Calibri" w:hint="eastAsia"/>
          <w:bCs/>
          <w:noProof/>
        </w:rPr>
        <w:t xml:space="preserve"> </w:t>
      </w:r>
      <w:r w:rsidR="00055878" w:rsidRPr="00026F99">
        <w:rPr>
          <w:rFonts w:ascii="Calibri" w:hAnsi="Calibri"/>
          <w:bCs/>
          <w:noProof/>
        </w:rPr>
        <w:t>Vodafone, AT&amp;T, Sprint, Verizon, ZTE</w:t>
      </w:r>
    </w:p>
    <w:p w:rsidR="00040D58" w:rsidRPr="002B5403" w:rsidRDefault="00040D58" w:rsidP="00040D58">
      <w:pPr>
        <w:spacing w:after="120"/>
        <w:jc w:val="both"/>
      </w:pPr>
    </w:p>
    <w:sectPr w:rsidR="00040D58"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21F" w:rsidRDefault="005D121F">
      <w:r>
        <w:separator/>
      </w:r>
    </w:p>
  </w:endnote>
  <w:endnote w:type="continuationSeparator" w:id="0">
    <w:p w:rsidR="005D121F" w:rsidRDefault="005D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21F" w:rsidRDefault="005D121F">
      <w:r>
        <w:separator/>
      </w:r>
    </w:p>
  </w:footnote>
  <w:footnote w:type="continuationSeparator" w:id="0">
    <w:p w:rsidR="005D121F" w:rsidRDefault="005D1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B6EA8"/>
    <w:multiLevelType w:val="hybridMultilevel"/>
    <w:tmpl w:val="DFB83E1A"/>
    <w:lvl w:ilvl="0" w:tplc="B97C6642">
      <w:start w:val="1"/>
      <w:numFmt w:val="bullet"/>
      <w:lvlText w:val="•"/>
      <w:lvlJc w:val="left"/>
      <w:pPr>
        <w:tabs>
          <w:tab w:val="num" w:pos="720"/>
        </w:tabs>
        <w:ind w:left="720" w:hanging="360"/>
      </w:pPr>
      <w:rPr>
        <w:rFonts w:ascii="Arial" w:hAnsi="Arial" w:hint="default"/>
      </w:rPr>
    </w:lvl>
    <w:lvl w:ilvl="1" w:tplc="6A86184A">
      <w:start w:val="1"/>
      <w:numFmt w:val="bullet"/>
      <w:lvlText w:val="•"/>
      <w:lvlJc w:val="left"/>
      <w:pPr>
        <w:tabs>
          <w:tab w:val="num" w:pos="1440"/>
        </w:tabs>
        <w:ind w:left="1440" w:hanging="360"/>
      </w:pPr>
      <w:rPr>
        <w:rFonts w:ascii="Arial" w:hAnsi="Arial" w:hint="default"/>
      </w:rPr>
    </w:lvl>
    <w:lvl w:ilvl="2" w:tplc="57629E94" w:tentative="1">
      <w:start w:val="1"/>
      <w:numFmt w:val="bullet"/>
      <w:lvlText w:val="•"/>
      <w:lvlJc w:val="left"/>
      <w:pPr>
        <w:tabs>
          <w:tab w:val="num" w:pos="2160"/>
        </w:tabs>
        <w:ind w:left="2160" w:hanging="360"/>
      </w:pPr>
      <w:rPr>
        <w:rFonts w:ascii="Arial" w:hAnsi="Arial" w:hint="default"/>
      </w:rPr>
    </w:lvl>
    <w:lvl w:ilvl="3" w:tplc="32D23234" w:tentative="1">
      <w:start w:val="1"/>
      <w:numFmt w:val="bullet"/>
      <w:lvlText w:val="•"/>
      <w:lvlJc w:val="left"/>
      <w:pPr>
        <w:tabs>
          <w:tab w:val="num" w:pos="2880"/>
        </w:tabs>
        <w:ind w:left="2880" w:hanging="360"/>
      </w:pPr>
      <w:rPr>
        <w:rFonts w:ascii="Arial" w:hAnsi="Arial" w:hint="default"/>
      </w:rPr>
    </w:lvl>
    <w:lvl w:ilvl="4" w:tplc="6A0006FC" w:tentative="1">
      <w:start w:val="1"/>
      <w:numFmt w:val="bullet"/>
      <w:lvlText w:val="•"/>
      <w:lvlJc w:val="left"/>
      <w:pPr>
        <w:tabs>
          <w:tab w:val="num" w:pos="3600"/>
        </w:tabs>
        <w:ind w:left="3600" w:hanging="360"/>
      </w:pPr>
      <w:rPr>
        <w:rFonts w:ascii="Arial" w:hAnsi="Arial" w:hint="default"/>
      </w:rPr>
    </w:lvl>
    <w:lvl w:ilvl="5" w:tplc="5C48A05A" w:tentative="1">
      <w:start w:val="1"/>
      <w:numFmt w:val="bullet"/>
      <w:lvlText w:val="•"/>
      <w:lvlJc w:val="left"/>
      <w:pPr>
        <w:tabs>
          <w:tab w:val="num" w:pos="4320"/>
        </w:tabs>
        <w:ind w:left="4320" w:hanging="360"/>
      </w:pPr>
      <w:rPr>
        <w:rFonts w:ascii="Arial" w:hAnsi="Arial" w:hint="default"/>
      </w:rPr>
    </w:lvl>
    <w:lvl w:ilvl="6" w:tplc="2BD29DD0" w:tentative="1">
      <w:start w:val="1"/>
      <w:numFmt w:val="bullet"/>
      <w:lvlText w:val="•"/>
      <w:lvlJc w:val="left"/>
      <w:pPr>
        <w:tabs>
          <w:tab w:val="num" w:pos="5040"/>
        </w:tabs>
        <w:ind w:left="5040" w:hanging="360"/>
      </w:pPr>
      <w:rPr>
        <w:rFonts w:ascii="Arial" w:hAnsi="Arial" w:hint="default"/>
      </w:rPr>
    </w:lvl>
    <w:lvl w:ilvl="7" w:tplc="E4681AE2" w:tentative="1">
      <w:start w:val="1"/>
      <w:numFmt w:val="bullet"/>
      <w:lvlText w:val="•"/>
      <w:lvlJc w:val="left"/>
      <w:pPr>
        <w:tabs>
          <w:tab w:val="num" w:pos="5760"/>
        </w:tabs>
        <w:ind w:left="5760" w:hanging="360"/>
      </w:pPr>
      <w:rPr>
        <w:rFonts w:ascii="Arial" w:hAnsi="Arial" w:hint="default"/>
      </w:rPr>
    </w:lvl>
    <w:lvl w:ilvl="8" w:tplc="CC1492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F57C5"/>
    <w:multiLevelType w:val="hybridMultilevel"/>
    <w:tmpl w:val="BBFE9422"/>
    <w:lvl w:ilvl="0" w:tplc="7BA86A48">
      <w:start w:val="1"/>
      <w:numFmt w:val="bullet"/>
      <w:lvlText w:val="•"/>
      <w:lvlJc w:val="left"/>
      <w:pPr>
        <w:tabs>
          <w:tab w:val="num" w:pos="720"/>
        </w:tabs>
        <w:ind w:left="720" w:hanging="360"/>
      </w:pPr>
      <w:rPr>
        <w:rFonts w:ascii="Arial" w:hAnsi="Arial" w:hint="default"/>
      </w:rPr>
    </w:lvl>
    <w:lvl w:ilvl="1" w:tplc="A8C2CAAC">
      <w:start w:val="1"/>
      <w:numFmt w:val="bullet"/>
      <w:lvlText w:val="•"/>
      <w:lvlJc w:val="left"/>
      <w:pPr>
        <w:tabs>
          <w:tab w:val="num" w:pos="1440"/>
        </w:tabs>
        <w:ind w:left="1440" w:hanging="360"/>
      </w:pPr>
      <w:rPr>
        <w:rFonts w:ascii="Arial" w:hAnsi="Arial" w:hint="default"/>
      </w:rPr>
    </w:lvl>
    <w:lvl w:ilvl="2" w:tplc="AE16027A" w:tentative="1">
      <w:start w:val="1"/>
      <w:numFmt w:val="bullet"/>
      <w:lvlText w:val="•"/>
      <w:lvlJc w:val="left"/>
      <w:pPr>
        <w:tabs>
          <w:tab w:val="num" w:pos="2160"/>
        </w:tabs>
        <w:ind w:left="2160" w:hanging="360"/>
      </w:pPr>
      <w:rPr>
        <w:rFonts w:ascii="Arial" w:hAnsi="Arial" w:hint="default"/>
      </w:rPr>
    </w:lvl>
    <w:lvl w:ilvl="3" w:tplc="7892E63E" w:tentative="1">
      <w:start w:val="1"/>
      <w:numFmt w:val="bullet"/>
      <w:lvlText w:val="•"/>
      <w:lvlJc w:val="left"/>
      <w:pPr>
        <w:tabs>
          <w:tab w:val="num" w:pos="2880"/>
        </w:tabs>
        <w:ind w:left="2880" w:hanging="360"/>
      </w:pPr>
      <w:rPr>
        <w:rFonts w:ascii="Arial" w:hAnsi="Arial" w:hint="default"/>
      </w:rPr>
    </w:lvl>
    <w:lvl w:ilvl="4" w:tplc="896C733C" w:tentative="1">
      <w:start w:val="1"/>
      <w:numFmt w:val="bullet"/>
      <w:lvlText w:val="•"/>
      <w:lvlJc w:val="left"/>
      <w:pPr>
        <w:tabs>
          <w:tab w:val="num" w:pos="3600"/>
        </w:tabs>
        <w:ind w:left="3600" w:hanging="360"/>
      </w:pPr>
      <w:rPr>
        <w:rFonts w:ascii="Arial" w:hAnsi="Arial" w:hint="default"/>
      </w:rPr>
    </w:lvl>
    <w:lvl w:ilvl="5" w:tplc="36A6DB40" w:tentative="1">
      <w:start w:val="1"/>
      <w:numFmt w:val="bullet"/>
      <w:lvlText w:val="•"/>
      <w:lvlJc w:val="left"/>
      <w:pPr>
        <w:tabs>
          <w:tab w:val="num" w:pos="4320"/>
        </w:tabs>
        <w:ind w:left="4320" w:hanging="360"/>
      </w:pPr>
      <w:rPr>
        <w:rFonts w:ascii="Arial" w:hAnsi="Arial" w:hint="default"/>
      </w:rPr>
    </w:lvl>
    <w:lvl w:ilvl="6" w:tplc="CBB80B0A" w:tentative="1">
      <w:start w:val="1"/>
      <w:numFmt w:val="bullet"/>
      <w:lvlText w:val="•"/>
      <w:lvlJc w:val="left"/>
      <w:pPr>
        <w:tabs>
          <w:tab w:val="num" w:pos="5040"/>
        </w:tabs>
        <w:ind w:left="5040" w:hanging="360"/>
      </w:pPr>
      <w:rPr>
        <w:rFonts w:ascii="Arial" w:hAnsi="Arial" w:hint="default"/>
      </w:rPr>
    </w:lvl>
    <w:lvl w:ilvl="7" w:tplc="D9369CC2" w:tentative="1">
      <w:start w:val="1"/>
      <w:numFmt w:val="bullet"/>
      <w:lvlText w:val="•"/>
      <w:lvlJc w:val="left"/>
      <w:pPr>
        <w:tabs>
          <w:tab w:val="num" w:pos="5760"/>
        </w:tabs>
        <w:ind w:left="5760" w:hanging="360"/>
      </w:pPr>
      <w:rPr>
        <w:rFonts w:ascii="Arial" w:hAnsi="Arial" w:hint="default"/>
      </w:rPr>
    </w:lvl>
    <w:lvl w:ilvl="8" w:tplc="338292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112AD9"/>
    <w:multiLevelType w:val="hybridMultilevel"/>
    <w:tmpl w:val="F2066FC2"/>
    <w:lvl w:ilvl="0" w:tplc="C1B006E4">
      <w:start w:val="1"/>
      <w:numFmt w:val="bullet"/>
      <w:lvlText w:val="•"/>
      <w:lvlJc w:val="left"/>
      <w:pPr>
        <w:tabs>
          <w:tab w:val="num" w:pos="720"/>
        </w:tabs>
        <w:ind w:left="720" w:hanging="360"/>
      </w:pPr>
      <w:rPr>
        <w:rFonts w:ascii="Arial" w:hAnsi="Arial" w:hint="default"/>
      </w:rPr>
    </w:lvl>
    <w:lvl w:ilvl="1" w:tplc="CDF00352">
      <w:numFmt w:val="bullet"/>
      <w:lvlText w:val="•"/>
      <w:lvlJc w:val="left"/>
      <w:pPr>
        <w:tabs>
          <w:tab w:val="num" w:pos="1440"/>
        </w:tabs>
        <w:ind w:left="1440" w:hanging="360"/>
      </w:pPr>
      <w:rPr>
        <w:rFonts w:ascii="Arial" w:hAnsi="Arial" w:hint="default"/>
      </w:rPr>
    </w:lvl>
    <w:lvl w:ilvl="2" w:tplc="C6484FA6" w:tentative="1">
      <w:start w:val="1"/>
      <w:numFmt w:val="bullet"/>
      <w:lvlText w:val="•"/>
      <w:lvlJc w:val="left"/>
      <w:pPr>
        <w:tabs>
          <w:tab w:val="num" w:pos="2160"/>
        </w:tabs>
        <w:ind w:left="2160" w:hanging="360"/>
      </w:pPr>
      <w:rPr>
        <w:rFonts w:ascii="Arial" w:hAnsi="Arial" w:hint="default"/>
      </w:rPr>
    </w:lvl>
    <w:lvl w:ilvl="3" w:tplc="F266BDC2" w:tentative="1">
      <w:start w:val="1"/>
      <w:numFmt w:val="bullet"/>
      <w:lvlText w:val="•"/>
      <w:lvlJc w:val="left"/>
      <w:pPr>
        <w:tabs>
          <w:tab w:val="num" w:pos="2880"/>
        </w:tabs>
        <w:ind w:left="2880" w:hanging="360"/>
      </w:pPr>
      <w:rPr>
        <w:rFonts w:ascii="Arial" w:hAnsi="Arial" w:hint="default"/>
      </w:rPr>
    </w:lvl>
    <w:lvl w:ilvl="4" w:tplc="4126BFF6" w:tentative="1">
      <w:start w:val="1"/>
      <w:numFmt w:val="bullet"/>
      <w:lvlText w:val="•"/>
      <w:lvlJc w:val="left"/>
      <w:pPr>
        <w:tabs>
          <w:tab w:val="num" w:pos="3600"/>
        </w:tabs>
        <w:ind w:left="3600" w:hanging="360"/>
      </w:pPr>
      <w:rPr>
        <w:rFonts w:ascii="Arial" w:hAnsi="Arial" w:hint="default"/>
      </w:rPr>
    </w:lvl>
    <w:lvl w:ilvl="5" w:tplc="D80CED14" w:tentative="1">
      <w:start w:val="1"/>
      <w:numFmt w:val="bullet"/>
      <w:lvlText w:val="•"/>
      <w:lvlJc w:val="left"/>
      <w:pPr>
        <w:tabs>
          <w:tab w:val="num" w:pos="4320"/>
        </w:tabs>
        <w:ind w:left="4320" w:hanging="360"/>
      </w:pPr>
      <w:rPr>
        <w:rFonts w:ascii="Arial" w:hAnsi="Arial" w:hint="default"/>
      </w:rPr>
    </w:lvl>
    <w:lvl w:ilvl="6" w:tplc="B6289206" w:tentative="1">
      <w:start w:val="1"/>
      <w:numFmt w:val="bullet"/>
      <w:lvlText w:val="•"/>
      <w:lvlJc w:val="left"/>
      <w:pPr>
        <w:tabs>
          <w:tab w:val="num" w:pos="5040"/>
        </w:tabs>
        <w:ind w:left="5040" w:hanging="360"/>
      </w:pPr>
      <w:rPr>
        <w:rFonts w:ascii="Arial" w:hAnsi="Arial" w:hint="default"/>
      </w:rPr>
    </w:lvl>
    <w:lvl w:ilvl="7" w:tplc="66AC2C36" w:tentative="1">
      <w:start w:val="1"/>
      <w:numFmt w:val="bullet"/>
      <w:lvlText w:val="•"/>
      <w:lvlJc w:val="left"/>
      <w:pPr>
        <w:tabs>
          <w:tab w:val="num" w:pos="5760"/>
        </w:tabs>
        <w:ind w:left="5760" w:hanging="360"/>
      </w:pPr>
      <w:rPr>
        <w:rFonts w:ascii="Arial" w:hAnsi="Arial" w:hint="default"/>
      </w:rPr>
    </w:lvl>
    <w:lvl w:ilvl="8" w:tplc="893C5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8D7404"/>
    <w:multiLevelType w:val="hybridMultilevel"/>
    <w:tmpl w:val="34B0A63E"/>
    <w:lvl w:ilvl="0" w:tplc="359AE090">
      <w:start w:val="1"/>
      <w:numFmt w:val="bullet"/>
      <w:lvlText w:val="•"/>
      <w:lvlJc w:val="left"/>
      <w:pPr>
        <w:tabs>
          <w:tab w:val="num" w:pos="720"/>
        </w:tabs>
        <w:ind w:left="720" w:hanging="360"/>
      </w:pPr>
      <w:rPr>
        <w:rFonts w:ascii="Arial" w:hAnsi="Arial" w:hint="default"/>
      </w:rPr>
    </w:lvl>
    <w:lvl w:ilvl="1" w:tplc="9B2A49B2">
      <w:numFmt w:val="bullet"/>
      <w:lvlText w:val="•"/>
      <w:lvlJc w:val="left"/>
      <w:pPr>
        <w:tabs>
          <w:tab w:val="num" w:pos="1440"/>
        </w:tabs>
        <w:ind w:left="1440" w:hanging="360"/>
      </w:pPr>
      <w:rPr>
        <w:rFonts w:ascii="Arial" w:hAnsi="Arial" w:hint="default"/>
      </w:rPr>
    </w:lvl>
    <w:lvl w:ilvl="2" w:tplc="C35ADFA8" w:tentative="1">
      <w:start w:val="1"/>
      <w:numFmt w:val="bullet"/>
      <w:lvlText w:val="•"/>
      <w:lvlJc w:val="left"/>
      <w:pPr>
        <w:tabs>
          <w:tab w:val="num" w:pos="2160"/>
        </w:tabs>
        <w:ind w:left="2160" w:hanging="360"/>
      </w:pPr>
      <w:rPr>
        <w:rFonts w:ascii="Arial" w:hAnsi="Arial" w:hint="default"/>
      </w:rPr>
    </w:lvl>
    <w:lvl w:ilvl="3" w:tplc="D662FBDA" w:tentative="1">
      <w:start w:val="1"/>
      <w:numFmt w:val="bullet"/>
      <w:lvlText w:val="•"/>
      <w:lvlJc w:val="left"/>
      <w:pPr>
        <w:tabs>
          <w:tab w:val="num" w:pos="2880"/>
        </w:tabs>
        <w:ind w:left="2880" w:hanging="360"/>
      </w:pPr>
      <w:rPr>
        <w:rFonts w:ascii="Arial" w:hAnsi="Arial" w:hint="default"/>
      </w:rPr>
    </w:lvl>
    <w:lvl w:ilvl="4" w:tplc="A25E9356" w:tentative="1">
      <w:start w:val="1"/>
      <w:numFmt w:val="bullet"/>
      <w:lvlText w:val="•"/>
      <w:lvlJc w:val="left"/>
      <w:pPr>
        <w:tabs>
          <w:tab w:val="num" w:pos="3600"/>
        </w:tabs>
        <w:ind w:left="3600" w:hanging="360"/>
      </w:pPr>
      <w:rPr>
        <w:rFonts w:ascii="Arial" w:hAnsi="Arial" w:hint="default"/>
      </w:rPr>
    </w:lvl>
    <w:lvl w:ilvl="5" w:tplc="DE4C86CC" w:tentative="1">
      <w:start w:val="1"/>
      <w:numFmt w:val="bullet"/>
      <w:lvlText w:val="•"/>
      <w:lvlJc w:val="left"/>
      <w:pPr>
        <w:tabs>
          <w:tab w:val="num" w:pos="4320"/>
        </w:tabs>
        <w:ind w:left="4320" w:hanging="360"/>
      </w:pPr>
      <w:rPr>
        <w:rFonts w:ascii="Arial" w:hAnsi="Arial" w:hint="default"/>
      </w:rPr>
    </w:lvl>
    <w:lvl w:ilvl="6" w:tplc="DB64481C" w:tentative="1">
      <w:start w:val="1"/>
      <w:numFmt w:val="bullet"/>
      <w:lvlText w:val="•"/>
      <w:lvlJc w:val="left"/>
      <w:pPr>
        <w:tabs>
          <w:tab w:val="num" w:pos="5040"/>
        </w:tabs>
        <w:ind w:left="5040" w:hanging="360"/>
      </w:pPr>
      <w:rPr>
        <w:rFonts w:ascii="Arial" w:hAnsi="Arial" w:hint="default"/>
      </w:rPr>
    </w:lvl>
    <w:lvl w:ilvl="7" w:tplc="DA8473E8" w:tentative="1">
      <w:start w:val="1"/>
      <w:numFmt w:val="bullet"/>
      <w:lvlText w:val="•"/>
      <w:lvlJc w:val="left"/>
      <w:pPr>
        <w:tabs>
          <w:tab w:val="num" w:pos="5760"/>
        </w:tabs>
        <w:ind w:left="5760" w:hanging="360"/>
      </w:pPr>
      <w:rPr>
        <w:rFonts w:ascii="Arial" w:hAnsi="Arial" w:hint="default"/>
      </w:rPr>
    </w:lvl>
    <w:lvl w:ilvl="8" w:tplc="E42057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B33AD"/>
    <w:multiLevelType w:val="hybridMultilevel"/>
    <w:tmpl w:val="7876B38C"/>
    <w:lvl w:ilvl="0" w:tplc="77F8F116">
      <w:start w:val="1"/>
      <w:numFmt w:val="bullet"/>
      <w:lvlText w:val="•"/>
      <w:lvlJc w:val="left"/>
      <w:pPr>
        <w:tabs>
          <w:tab w:val="num" w:pos="720"/>
        </w:tabs>
        <w:ind w:left="720" w:hanging="360"/>
      </w:pPr>
      <w:rPr>
        <w:rFonts w:ascii="Arial" w:hAnsi="Arial" w:hint="default"/>
      </w:rPr>
    </w:lvl>
    <w:lvl w:ilvl="1" w:tplc="59F8F552">
      <w:start w:val="1"/>
      <w:numFmt w:val="bullet"/>
      <w:lvlText w:val="•"/>
      <w:lvlJc w:val="left"/>
      <w:pPr>
        <w:tabs>
          <w:tab w:val="num" w:pos="1440"/>
        </w:tabs>
        <w:ind w:left="1440" w:hanging="360"/>
      </w:pPr>
      <w:rPr>
        <w:rFonts w:ascii="Arial" w:hAnsi="Arial" w:hint="default"/>
      </w:rPr>
    </w:lvl>
    <w:lvl w:ilvl="2" w:tplc="E8F80C14" w:tentative="1">
      <w:start w:val="1"/>
      <w:numFmt w:val="bullet"/>
      <w:lvlText w:val="•"/>
      <w:lvlJc w:val="left"/>
      <w:pPr>
        <w:tabs>
          <w:tab w:val="num" w:pos="2160"/>
        </w:tabs>
        <w:ind w:left="2160" w:hanging="360"/>
      </w:pPr>
      <w:rPr>
        <w:rFonts w:ascii="Arial" w:hAnsi="Arial" w:hint="default"/>
      </w:rPr>
    </w:lvl>
    <w:lvl w:ilvl="3" w:tplc="A6FECFF0" w:tentative="1">
      <w:start w:val="1"/>
      <w:numFmt w:val="bullet"/>
      <w:lvlText w:val="•"/>
      <w:lvlJc w:val="left"/>
      <w:pPr>
        <w:tabs>
          <w:tab w:val="num" w:pos="2880"/>
        </w:tabs>
        <w:ind w:left="2880" w:hanging="360"/>
      </w:pPr>
      <w:rPr>
        <w:rFonts w:ascii="Arial" w:hAnsi="Arial" w:hint="default"/>
      </w:rPr>
    </w:lvl>
    <w:lvl w:ilvl="4" w:tplc="E4121F38" w:tentative="1">
      <w:start w:val="1"/>
      <w:numFmt w:val="bullet"/>
      <w:lvlText w:val="•"/>
      <w:lvlJc w:val="left"/>
      <w:pPr>
        <w:tabs>
          <w:tab w:val="num" w:pos="3600"/>
        </w:tabs>
        <w:ind w:left="3600" w:hanging="360"/>
      </w:pPr>
      <w:rPr>
        <w:rFonts w:ascii="Arial" w:hAnsi="Arial" w:hint="default"/>
      </w:rPr>
    </w:lvl>
    <w:lvl w:ilvl="5" w:tplc="2E7A5F14" w:tentative="1">
      <w:start w:val="1"/>
      <w:numFmt w:val="bullet"/>
      <w:lvlText w:val="•"/>
      <w:lvlJc w:val="left"/>
      <w:pPr>
        <w:tabs>
          <w:tab w:val="num" w:pos="4320"/>
        </w:tabs>
        <w:ind w:left="4320" w:hanging="360"/>
      </w:pPr>
      <w:rPr>
        <w:rFonts w:ascii="Arial" w:hAnsi="Arial" w:hint="default"/>
      </w:rPr>
    </w:lvl>
    <w:lvl w:ilvl="6" w:tplc="0F0A6A38" w:tentative="1">
      <w:start w:val="1"/>
      <w:numFmt w:val="bullet"/>
      <w:lvlText w:val="•"/>
      <w:lvlJc w:val="left"/>
      <w:pPr>
        <w:tabs>
          <w:tab w:val="num" w:pos="5040"/>
        </w:tabs>
        <w:ind w:left="5040" w:hanging="360"/>
      </w:pPr>
      <w:rPr>
        <w:rFonts w:ascii="Arial" w:hAnsi="Arial" w:hint="default"/>
      </w:rPr>
    </w:lvl>
    <w:lvl w:ilvl="7" w:tplc="78526E72" w:tentative="1">
      <w:start w:val="1"/>
      <w:numFmt w:val="bullet"/>
      <w:lvlText w:val="•"/>
      <w:lvlJc w:val="left"/>
      <w:pPr>
        <w:tabs>
          <w:tab w:val="num" w:pos="5760"/>
        </w:tabs>
        <w:ind w:left="5760" w:hanging="360"/>
      </w:pPr>
      <w:rPr>
        <w:rFonts w:ascii="Arial" w:hAnsi="Arial" w:hint="default"/>
      </w:rPr>
    </w:lvl>
    <w:lvl w:ilvl="8" w:tplc="8B387B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3102E"/>
    <w:multiLevelType w:val="hybridMultilevel"/>
    <w:tmpl w:val="BD142636"/>
    <w:lvl w:ilvl="0" w:tplc="6CC2B75A">
      <w:start w:val="1"/>
      <w:numFmt w:val="bullet"/>
      <w:lvlText w:val="•"/>
      <w:lvlJc w:val="left"/>
      <w:pPr>
        <w:tabs>
          <w:tab w:val="num" w:pos="720"/>
        </w:tabs>
        <w:ind w:left="720" w:hanging="360"/>
      </w:pPr>
      <w:rPr>
        <w:rFonts w:ascii="Arial" w:hAnsi="Arial" w:hint="default"/>
      </w:rPr>
    </w:lvl>
    <w:lvl w:ilvl="1" w:tplc="784EAA06">
      <w:start w:val="1"/>
      <w:numFmt w:val="bullet"/>
      <w:lvlText w:val="•"/>
      <w:lvlJc w:val="left"/>
      <w:pPr>
        <w:tabs>
          <w:tab w:val="num" w:pos="1440"/>
        </w:tabs>
        <w:ind w:left="1440" w:hanging="360"/>
      </w:pPr>
      <w:rPr>
        <w:rFonts w:ascii="Arial" w:hAnsi="Arial" w:hint="default"/>
      </w:rPr>
    </w:lvl>
    <w:lvl w:ilvl="2" w:tplc="1CCE678E" w:tentative="1">
      <w:start w:val="1"/>
      <w:numFmt w:val="bullet"/>
      <w:lvlText w:val="•"/>
      <w:lvlJc w:val="left"/>
      <w:pPr>
        <w:tabs>
          <w:tab w:val="num" w:pos="2160"/>
        </w:tabs>
        <w:ind w:left="2160" w:hanging="360"/>
      </w:pPr>
      <w:rPr>
        <w:rFonts w:ascii="Arial" w:hAnsi="Arial" w:hint="default"/>
      </w:rPr>
    </w:lvl>
    <w:lvl w:ilvl="3" w:tplc="5086ABE0" w:tentative="1">
      <w:start w:val="1"/>
      <w:numFmt w:val="bullet"/>
      <w:lvlText w:val="•"/>
      <w:lvlJc w:val="left"/>
      <w:pPr>
        <w:tabs>
          <w:tab w:val="num" w:pos="2880"/>
        </w:tabs>
        <w:ind w:left="2880" w:hanging="360"/>
      </w:pPr>
      <w:rPr>
        <w:rFonts w:ascii="Arial" w:hAnsi="Arial" w:hint="default"/>
      </w:rPr>
    </w:lvl>
    <w:lvl w:ilvl="4" w:tplc="39B2E71C" w:tentative="1">
      <w:start w:val="1"/>
      <w:numFmt w:val="bullet"/>
      <w:lvlText w:val="•"/>
      <w:lvlJc w:val="left"/>
      <w:pPr>
        <w:tabs>
          <w:tab w:val="num" w:pos="3600"/>
        </w:tabs>
        <w:ind w:left="3600" w:hanging="360"/>
      </w:pPr>
      <w:rPr>
        <w:rFonts w:ascii="Arial" w:hAnsi="Arial" w:hint="default"/>
      </w:rPr>
    </w:lvl>
    <w:lvl w:ilvl="5" w:tplc="DB8050CE" w:tentative="1">
      <w:start w:val="1"/>
      <w:numFmt w:val="bullet"/>
      <w:lvlText w:val="•"/>
      <w:lvlJc w:val="left"/>
      <w:pPr>
        <w:tabs>
          <w:tab w:val="num" w:pos="4320"/>
        </w:tabs>
        <w:ind w:left="4320" w:hanging="360"/>
      </w:pPr>
      <w:rPr>
        <w:rFonts w:ascii="Arial" w:hAnsi="Arial" w:hint="default"/>
      </w:rPr>
    </w:lvl>
    <w:lvl w:ilvl="6" w:tplc="3EBABB08" w:tentative="1">
      <w:start w:val="1"/>
      <w:numFmt w:val="bullet"/>
      <w:lvlText w:val="•"/>
      <w:lvlJc w:val="left"/>
      <w:pPr>
        <w:tabs>
          <w:tab w:val="num" w:pos="5040"/>
        </w:tabs>
        <w:ind w:left="5040" w:hanging="360"/>
      </w:pPr>
      <w:rPr>
        <w:rFonts w:ascii="Arial" w:hAnsi="Arial" w:hint="default"/>
      </w:rPr>
    </w:lvl>
    <w:lvl w:ilvl="7" w:tplc="C3288CAE" w:tentative="1">
      <w:start w:val="1"/>
      <w:numFmt w:val="bullet"/>
      <w:lvlText w:val="•"/>
      <w:lvlJc w:val="left"/>
      <w:pPr>
        <w:tabs>
          <w:tab w:val="num" w:pos="5760"/>
        </w:tabs>
        <w:ind w:left="5760" w:hanging="360"/>
      </w:pPr>
      <w:rPr>
        <w:rFonts w:ascii="Arial" w:hAnsi="Arial" w:hint="default"/>
      </w:rPr>
    </w:lvl>
    <w:lvl w:ilvl="8" w:tplc="93525B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20"/>
  </w:num>
  <w:num w:numId="4">
    <w:abstractNumId w:val="38"/>
  </w:num>
  <w:num w:numId="5">
    <w:abstractNumId w:val="41"/>
  </w:num>
  <w:num w:numId="6">
    <w:abstractNumId w:val="33"/>
  </w:num>
  <w:num w:numId="7">
    <w:abstractNumId w:val="9"/>
  </w:num>
  <w:num w:numId="8">
    <w:abstractNumId w:val="15"/>
  </w:num>
  <w:num w:numId="9">
    <w:abstractNumId w:val="30"/>
  </w:num>
  <w:num w:numId="10">
    <w:abstractNumId w:val="30"/>
    <w:lvlOverride w:ilvl="0">
      <w:startOverride w:val="1"/>
    </w:lvlOverride>
  </w:num>
  <w:num w:numId="11">
    <w:abstractNumId w:val="36"/>
  </w:num>
  <w:num w:numId="12">
    <w:abstractNumId w:val="29"/>
  </w:num>
  <w:num w:numId="13">
    <w:abstractNumId w:val="16"/>
  </w:num>
  <w:num w:numId="14">
    <w:abstractNumId w:val="31"/>
  </w:num>
  <w:num w:numId="15">
    <w:abstractNumId w:val="18"/>
  </w:num>
  <w:num w:numId="16">
    <w:abstractNumId w:val="12"/>
  </w:num>
  <w:num w:numId="17">
    <w:abstractNumId w:val="8"/>
  </w:num>
  <w:num w:numId="18">
    <w:abstractNumId w:val="34"/>
  </w:num>
  <w:num w:numId="19">
    <w:abstractNumId w:val="19"/>
  </w:num>
  <w:num w:numId="20">
    <w:abstractNumId w:val="27"/>
  </w:num>
  <w:num w:numId="21">
    <w:abstractNumId w:val="35"/>
  </w:num>
  <w:num w:numId="22">
    <w:abstractNumId w:val="40"/>
  </w:num>
  <w:num w:numId="23">
    <w:abstractNumId w:val="21"/>
  </w:num>
  <w:num w:numId="24">
    <w:abstractNumId w:val="11"/>
  </w:num>
  <w:num w:numId="25">
    <w:abstractNumId w:val="32"/>
  </w:num>
  <w:num w:numId="26">
    <w:abstractNumId w:val="7"/>
  </w:num>
  <w:num w:numId="27">
    <w:abstractNumId w:val="1"/>
  </w:num>
  <w:num w:numId="28">
    <w:abstractNumId w:val="14"/>
  </w:num>
  <w:num w:numId="29">
    <w:abstractNumId w:val="24"/>
  </w:num>
  <w:num w:numId="30">
    <w:abstractNumId w:val="6"/>
  </w:num>
  <w:num w:numId="31">
    <w:abstractNumId w:val="0"/>
  </w:num>
  <w:num w:numId="32">
    <w:abstractNumId w:val="5"/>
  </w:num>
  <w:num w:numId="33">
    <w:abstractNumId w:val="39"/>
  </w:num>
  <w:num w:numId="34">
    <w:abstractNumId w:val="13"/>
  </w:num>
  <w:num w:numId="35">
    <w:abstractNumId w:val="23"/>
  </w:num>
  <w:num w:numId="36">
    <w:abstractNumId w:val="37"/>
  </w:num>
  <w:num w:numId="37">
    <w:abstractNumId w:val="26"/>
  </w:num>
  <w:num w:numId="38">
    <w:abstractNumId w:val="17"/>
  </w:num>
  <w:num w:numId="39">
    <w:abstractNumId w:val="22"/>
  </w:num>
  <w:num w:numId="40">
    <w:abstractNumId w:val="3"/>
  </w:num>
  <w:num w:numId="41">
    <w:abstractNumId w:val="28"/>
  </w:num>
  <w:num w:numId="42">
    <w:abstractNumId w:val="25"/>
  </w:num>
  <w:num w:numId="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6F99"/>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0D58"/>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878"/>
    <w:rsid w:val="00055933"/>
    <w:rsid w:val="00056359"/>
    <w:rsid w:val="00056544"/>
    <w:rsid w:val="00056613"/>
    <w:rsid w:val="00056B77"/>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85B"/>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608"/>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49FD"/>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B0A"/>
    <w:rsid w:val="00193DD4"/>
    <w:rsid w:val="00194A0C"/>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527"/>
    <w:rsid w:val="00262AB8"/>
    <w:rsid w:val="002631CE"/>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87"/>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A78E4"/>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1EC"/>
    <w:rsid w:val="002D365F"/>
    <w:rsid w:val="002D36B6"/>
    <w:rsid w:val="002D45F7"/>
    <w:rsid w:val="002D4A9A"/>
    <w:rsid w:val="002D65EF"/>
    <w:rsid w:val="002D78A9"/>
    <w:rsid w:val="002D7C18"/>
    <w:rsid w:val="002E0340"/>
    <w:rsid w:val="002E0E1B"/>
    <w:rsid w:val="002E1D1D"/>
    <w:rsid w:val="002E1DE8"/>
    <w:rsid w:val="002E1E1E"/>
    <w:rsid w:val="002E1EB8"/>
    <w:rsid w:val="002E22C5"/>
    <w:rsid w:val="002E3686"/>
    <w:rsid w:val="002E3A21"/>
    <w:rsid w:val="002E4153"/>
    <w:rsid w:val="002E4857"/>
    <w:rsid w:val="002E5239"/>
    <w:rsid w:val="002E5E1E"/>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2F7D6C"/>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88B"/>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03F"/>
    <w:rsid w:val="003642A6"/>
    <w:rsid w:val="0036488E"/>
    <w:rsid w:val="00364BBC"/>
    <w:rsid w:val="00364BDE"/>
    <w:rsid w:val="00364D26"/>
    <w:rsid w:val="00364D63"/>
    <w:rsid w:val="003655D9"/>
    <w:rsid w:val="0036620B"/>
    <w:rsid w:val="003666FD"/>
    <w:rsid w:val="003673FF"/>
    <w:rsid w:val="00367FBE"/>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6D56"/>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28F"/>
    <w:rsid w:val="00406595"/>
    <w:rsid w:val="0040697D"/>
    <w:rsid w:val="00406ED2"/>
    <w:rsid w:val="00410094"/>
    <w:rsid w:val="00410416"/>
    <w:rsid w:val="004107ED"/>
    <w:rsid w:val="00410E03"/>
    <w:rsid w:val="004111BD"/>
    <w:rsid w:val="00412590"/>
    <w:rsid w:val="00412765"/>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254"/>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079"/>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09E7"/>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3360"/>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2E45"/>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D61"/>
    <w:rsid w:val="005C2EAB"/>
    <w:rsid w:val="005C2FE5"/>
    <w:rsid w:val="005C3112"/>
    <w:rsid w:val="005C492F"/>
    <w:rsid w:val="005C50BD"/>
    <w:rsid w:val="005C55F6"/>
    <w:rsid w:val="005C5A5E"/>
    <w:rsid w:val="005C6684"/>
    <w:rsid w:val="005C76DF"/>
    <w:rsid w:val="005C7C25"/>
    <w:rsid w:val="005C7E1D"/>
    <w:rsid w:val="005D07CC"/>
    <w:rsid w:val="005D08ED"/>
    <w:rsid w:val="005D121F"/>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E7D40"/>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038"/>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12A"/>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64"/>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2F95"/>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B1D"/>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B2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10F"/>
    <w:rsid w:val="008037A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2404"/>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E6A"/>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1E3"/>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2567"/>
    <w:rsid w:val="008A338F"/>
    <w:rsid w:val="008A36E4"/>
    <w:rsid w:val="008A4146"/>
    <w:rsid w:val="008A416F"/>
    <w:rsid w:val="008A4614"/>
    <w:rsid w:val="008A5008"/>
    <w:rsid w:val="008A5258"/>
    <w:rsid w:val="008A66DC"/>
    <w:rsid w:val="008A7340"/>
    <w:rsid w:val="008B016F"/>
    <w:rsid w:val="008B0564"/>
    <w:rsid w:val="008B0916"/>
    <w:rsid w:val="008B171F"/>
    <w:rsid w:val="008B1FED"/>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9BD"/>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039"/>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2681"/>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876"/>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48B"/>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77DF1"/>
    <w:rsid w:val="0098033C"/>
    <w:rsid w:val="00980501"/>
    <w:rsid w:val="0098092C"/>
    <w:rsid w:val="00981C49"/>
    <w:rsid w:val="009825D4"/>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031F"/>
    <w:rsid w:val="009D122C"/>
    <w:rsid w:val="009D14D0"/>
    <w:rsid w:val="009D153C"/>
    <w:rsid w:val="009D1D10"/>
    <w:rsid w:val="009D22FC"/>
    <w:rsid w:val="009D240A"/>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159"/>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BF8"/>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146"/>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90F"/>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69F"/>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30C"/>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2E33"/>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81C"/>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6CD"/>
    <w:rsid w:val="00C5502C"/>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9BD"/>
    <w:rsid w:val="00C74A03"/>
    <w:rsid w:val="00C74CA9"/>
    <w:rsid w:val="00C74E21"/>
    <w:rsid w:val="00C7534C"/>
    <w:rsid w:val="00C754AD"/>
    <w:rsid w:val="00C75B9E"/>
    <w:rsid w:val="00C75BF4"/>
    <w:rsid w:val="00C75D45"/>
    <w:rsid w:val="00C76099"/>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3ED5"/>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C7446"/>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2098"/>
    <w:rsid w:val="00D433D2"/>
    <w:rsid w:val="00D43E6A"/>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86B"/>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624"/>
    <w:rsid w:val="00DA1F25"/>
    <w:rsid w:val="00DA2642"/>
    <w:rsid w:val="00DA2C25"/>
    <w:rsid w:val="00DA3695"/>
    <w:rsid w:val="00DA3CC0"/>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102"/>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09FD"/>
    <w:rsid w:val="00E61342"/>
    <w:rsid w:val="00E61961"/>
    <w:rsid w:val="00E62033"/>
    <w:rsid w:val="00E62369"/>
    <w:rsid w:val="00E626CB"/>
    <w:rsid w:val="00E62E80"/>
    <w:rsid w:val="00E630D7"/>
    <w:rsid w:val="00E63979"/>
    <w:rsid w:val="00E640CC"/>
    <w:rsid w:val="00E65B52"/>
    <w:rsid w:val="00E66098"/>
    <w:rsid w:val="00E664B1"/>
    <w:rsid w:val="00E6686F"/>
    <w:rsid w:val="00E674C4"/>
    <w:rsid w:val="00E675D3"/>
    <w:rsid w:val="00E67C1A"/>
    <w:rsid w:val="00E7015F"/>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00"/>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80E"/>
    <w:rsid w:val="00E94C64"/>
    <w:rsid w:val="00E954EC"/>
    <w:rsid w:val="00E955FD"/>
    <w:rsid w:val="00E9575B"/>
    <w:rsid w:val="00E95E3B"/>
    <w:rsid w:val="00E96745"/>
    <w:rsid w:val="00E9707C"/>
    <w:rsid w:val="00E97137"/>
    <w:rsid w:val="00EA073A"/>
    <w:rsid w:val="00EA0FCF"/>
    <w:rsid w:val="00EA1D43"/>
    <w:rsid w:val="00EA2295"/>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759"/>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2EFC"/>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A1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236"/>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390"/>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3BD"/>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02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550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0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878540362">
          <w:marLeft w:val="547"/>
          <w:marRight w:val="0"/>
          <w:marTop w:val="130"/>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6828637">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4261458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109396607">
          <w:marLeft w:val="1166"/>
          <w:marRight w:val="0"/>
          <w:marTop w:val="134"/>
          <w:marBottom w:val="0"/>
          <w:divBdr>
            <w:top w:val="none" w:sz="0" w:space="0" w:color="auto"/>
            <w:left w:val="none" w:sz="0" w:space="0" w:color="auto"/>
            <w:bottom w:val="none" w:sz="0" w:space="0" w:color="auto"/>
            <w:right w:val="none" w:sz="0" w:space="0" w:color="auto"/>
          </w:divBdr>
        </w:div>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306224">
      <w:bodyDiv w:val="1"/>
      <w:marLeft w:val="0"/>
      <w:marRight w:val="0"/>
      <w:marTop w:val="0"/>
      <w:marBottom w:val="0"/>
      <w:divBdr>
        <w:top w:val="none" w:sz="0" w:space="0" w:color="auto"/>
        <w:left w:val="none" w:sz="0" w:space="0" w:color="auto"/>
        <w:bottom w:val="none" w:sz="0" w:space="0" w:color="auto"/>
        <w:right w:val="none" w:sz="0" w:space="0" w:color="auto"/>
      </w:divBdr>
      <w:divsChild>
        <w:div w:id="339703358">
          <w:marLeft w:val="1080"/>
          <w:marRight w:val="0"/>
          <w:marTop w:val="100"/>
          <w:marBottom w:val="0"/>
          <w:divBdr>
            <w:top w:val="none" w:sz="0" w:space="0" w:color="auto"/>
            <w:left w:val="none" w:sz="0" w:space="0" w:color="auto"/>
            <w:bottom w:val="none" w:sz="0" w:space="0" w:color="auto"/>
            <w:right w:val="none" w:sz="0" w:space="0" w:color="auto"/>
          </w:divBdr>
        </w:div>
        <w:div w:id="1099132309">
          <w:marLeft w:val="1080"/>
          <w:marRight w:val="0"/>
          <w:marTop w:val="100"/>
          <w:marBottom w:val="0"/>
          <w:divBdr>
            <w:top w:val="none" w:sz="0" w:space="0" w:color="auto"/>
            <w:left w:val="none" w:sz="0" w:space="0" w:color="auto"/>
            <w:bottom w:val="none" w:sz="0" w:space="0" w:color="auto"/>
            <w:right w:val="none" w:sz="0" w:space="0" w:color="auto"/>
          </w:divBdr>
        </w:div>
      </w:divsChild>
    </w:div>
    <w:div w:id="467943832">
      <w:bodyDiv w:val="1"/>
      <w:marLeft w:val="0"/>
      <w:marRight w:val="0"/>
      <w:marTop w:val="0"/>
      <w:marBottom w:val="0"/>
      <w:divBdr>
        <w:top w:val="none" w:sz="0" w:space="0" w:color="auto"/>
        <w:left w:val="none" w:sz="0" w:space="0" w:color="auto"/>
        <w:bottom w:val="none" w:sz="0" w:space="0" w:color="auto"/>
        <w:right w:val="none" w:sz="0" w:space="0" w:color="auto"/>
      </w:divBdr>
      <w:divsChild>
        <w:div w:id="1806124014">
          <w:marLeft w:val="1080"/>
          <w:marRight w:val="0"/>
          <w:marTop w:val="100"/>
          <w:marBottom w:val="0"/>
          <w:divBdr>
            <w:top w:val="none" w:sz="0" w:space="0" w:color="auto"/>
            <w:left w:val="none" w:sz="0" w:space="0" w:color="auto"/>
            <w:bottom w:val="none" w:sz="0" w:space="0" w:color="auto"/>
            <w:right w:val="none" w:sz="0" w:space="0" w:color="auto"/>
          </w:divBdr>
        </w:div>
        <w:div w:id="1914587085">
          <w:marLeft w:val="360"/>
          <w:marRight w:val="0"/>
          <w:marTop w:val="20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6712845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135659">
      <w:bodyDiv w:val="1"/>
      <w:marLeft w:val="0"/>
      <w:marRight w:val="0"/>
      <w:marTop w:val="0"/>
      <w:marBottom w:val="0"/>
      <w:divBdr>
        <w:top w:val="none" w:sz="0" w:space="0" w:color="auto"/>
        <w:left w:val="none" w:sz="0" w:space="0" w:color="auto"/>
        <w:bottom w:val="none" w:sz="0" w:space="0" w:color="auto"/>
        <w:right w:val="none" w:sz="0" w:space="0" w:color="auto"/>
      </w:divBdr>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sChild>
    </w:div>
    <w:div w:id="1016807106">
      <w:bodyDiv w:val="1"/>
      <w:marLeft w:val="0"/>
      <w:marRight w:val="0"/>
      <w:marTop w:val="0"/>
      <w:marBottom w:val="0"/>
      <w:divBdr>
        <w:top w:val="none" w:sz="0" w:space="0" w:color="auto"/>
        <w:left w:val="none" w:sz="0" w:space="0" w:color="auto"/>
        <w:bottom w:val="none" w:sz="0" w:space="0" w:color="auto"/>
        <w:right w:val="none" w:sz="0" w:space="0" w:color="auto"/>
      </w:divBdr>
      <w:divsChild>
        <w:div w:id="447552299">
          <w:marLeft w:val="1080"/>
          <w:marRight w:val="0"/>
          <w:marTop w:val="100"/>
          <w:marBottom w:val="0"/>
          <w:divBdr>
            <w:top w:val="none" w:sz="0" w:space="0" w:color="auto"/>
            <w:left w:val="none" w:sz="0" w:space="0" w:color="auto"/>
            <w:bottom w:val="none" w:sz="0" w:space="0" w:color="auto"/>
            <w:right w:val="none" w:sz="0" w:space="0" w:color="auto"/>
          </w:divBdr>
        </w:div>
        <w:div w:id="1067147924">
          <w:marLeft w:val="1080"/>
          <w:marRight w:val="0"/>
          <w:marTop w:val="100"/>
          <w:marBottom w:val="0"/>
          <w:divBdr>
            <w:top w:val="none" w:sz="0" w:space="0" w:color="auto"/>
            <w:left w:val="none" w:sz="0" w:space="0" w:color="auto"/>
            <w:bottom w:val="none" w:sz="0" w:space="0" w:color="auto"/>
            <w:right w:val="none" w:sz="0" w:space="0" w:color="auto"/>
          </w:divBdr>
        </w:div>
        <w:div w:id="1869247705">
          <w:marLeft w:val="1080"/>
          <w:marRight w:val="0"/>
          <w:marTop w:val="100"/>
          <w:marBottom w:val="0"/>
          <w:divBdr>
            <w:top w:val="none" w:sz="0" w:space="0" w:color="auto"/>
            <w:left w:val="none" w:sz="0" w:space="0" w:color="auto"/>
            <w:bottom w:val="none" w:sz="0" w:space="0" w:color="auto"/>
            <w:right w:val="none" w:sz="0" w:space="0" w:color="auto"/>
          </w:divBdr>
        </w:div>
        <w:div w:id="201358551">
          <w:marLeft w:val="1080"/>
          <w:marRight w:val="0"/>
          <w:marTop w:val="100"/>
          <w:marBottom w:val="0"/>
          <w:divBdr>
            <w:top w:val="none" w:sz="0" w:space="0" w:color="auto"/>
            <w:left w:val="none" w:sz="0" w:space="0" w:color="auto"/>
            <w:bottom w:val="none" w:sz="0" w:space="0" w:color="auto"/>
            <w:right w:val="none" w:sz="0" w:space="0" w:color="auto"/>
          </w:divBdr>
        </w:div>
        <w:div w:id="848176953">
          <w:marLeft w:val="1080"/>
          <w:marRight w:val="0"/>
          <w:marTop w:val="100"/>
          <w:marBottom w:val="0"/>
          <w:divBdr>
            <w:top w:val="none" w:sz="0" w:space="0" w:color="auto"/>
            <w:left w:val="none" w:sz="0" w:space="0" w:color="auto"/>
            <w:bottom w:val="none" w:sz="0" w:space="0" w:color="auto"/>
            <w:right w:val="none" w:sz="0" w:space="0" w:color="auto"/>
          </w:divBdr>
        </w:div>
        <w:div w:id="1981575317">
          <w:marLeft w:val="1080"/>
          <w:marRight w:val="0"/>
          <w:marTop w:val="10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0998975">
      <w:bodyDiv w:val="1"/>
      <w:marLeft w:val="0"/>
      <w:marRight w:val="0"/>
      <w:marTop w:val="0"/>
      <w:marBottom w:val="0"/>
      <w:divBdr>
        <w:top w:val="none" w:sz="0" w:space="0" w:color="auto"/>
        <w:left w:val="none" w:sz="0" w:space="0" w:color="auto"/>
        <w:bottom w:val="none" w:sz="0" w:space="0" w:color="auto"/>
        <w:right w:val="none" w:sz="0" w:space="0" w:color="auto"/>
      </w:divBdr>
      <w:divsChild>
        <w:div w:id="1561861809">
          <w:marLeft w:val="360"/>
          <w:marRight w:val="0"/>
          <w:marTop w:val="200"/>
          <w:marBottom w:val="0"/>
          <w:divBdr>
            <w:top w:val="none" w:sz="0" w:space="0" w:color="auto"/>
            <w:left w:val="none" w:sz="0" w:space="0" w:color="auto"/>
            <w:bottom w:val="none" w:sz="0" w:space="0" w:color="auto"/>
            <w:right w:val="none" w:sz="0" w:space="0" w:color="auto"/>
          </w:divBdr>
        </w:div>
        <w:div w:id="1787695919">
          <w:marLeft w:val="1080"/>
          <w:marRight w:val="0"/>
          <w:marTop w:val="100"/>
          <w:marBottom w:val="0"/>
          <w:divBdr>
            <w:top w:val="none" w:sz="0" w:space="0" w:color="auto"/>
            <w:left w:val="none" w:sz="0" w:space="0" w:color="auto"/>
            <w:bottom w:val="none" w:sz="0" w:space="0" w:color="auto"/>
            <w:right w:val="none" w:sz="0" w:space="0" w:color="auto"/>
          </w:divBdr>
        </w:div>
        <w:div w:id="1870682287">
          <w:marLeft w:val="1080"/>
          <w:marRight w:val="0"/>
          <w:marTop w:val="100"/>
          <w:marBottom w:val="0"/>
          <w:divBdr>
            <w:top w:val="none" w:sz="0" w:space="0" w:color="auto"/>
            <w:left w:val="none" w:sz="0" w:space="0" w:color="auto"/>
            <w:bottom w:val="none" w:sz="0" w:space="0" w:color="auto"/>
            <w:right w:val="none" w:sz="0" w:space="0" w:color="auto"/>
          </w:divBdr>
        </w:div>
        <w:div w:id="1895769094">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100783">
      <w:bodyDiv w:val="1"/>
      <w:marLeft w:val="0"/>
      <w:marRight w:val="0"/>
      <w:marTop w:val="0"/>
      <w:marBottom w:val="0"/>
      <w:divBdr>
        <w:top w:val="none" w:sz="0" w:space="0" w:color="auto"/>
        <w:left w:val="none" w:sz="0" w:space="0" w:color="auto"/>
        <w:bottom w:val="none" w:sz="0" w:space="0" w:color="auto"/>
        <w:right w:val="none" w:sz="0" w:space="0" w:color="auto"/>
      </w:divBdr>
      <w:divsChild>
        <w:div w:id="564417720">
          <w:marLeft w:val="1080"/>
          <w:marRight w:val="0"/>
          <w:marTop w:val="10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90197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367995986">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730234499">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50115691">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354231813">
          <w:marLeft w:val="547"/>
          <w:marRight w:val="0"/>
          <w:marTop w:val="106"/>
          <w:marBottom w:val="0"/>
          <w:divBdr>
            <w:top w:val="none" w:sz="0" w:space="0" w:color="auto"/>
            <w:left w:val="none" w:sz="0" w:space="0" w:color="auto"/>
            <w:bottom w:val="none" w:sz="0" w:space="0" w:color="auto"/>
            <w:right w:val="none" w:sz="0" w:space="0" w:color="auto"/>
          </w:divBdr>
        </w:div>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2017-09-06T04:30:00Z</dcterms:created>
  <dcterms:modified xsi:type="dcterms:W3CDTF">2017-10-02T16:54:00Z</dcterms:modified>
</cp:coreProperties>
</file>